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25-TA-1909: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datu analīzes jomas projektu pasu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(Prezentācija: Digitālās pārvaldes arhitektūra un investīciju portfelis tās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anotācijas un noteikumu, t.sk. pielikumu tekstā, īpaši, kur tas ir attiecināms uz sabiedrību un fiziskām personām, vārdu “pieejamība” aizstāt ar “piekļūstamība”, nodrošinot atbilstošu terminoloģiju. Vēršam uzmanību, ka, atbilstoši Latvijas Zinātņu akadēmijas Terminoloģijas komisijas lēmumam, angļu valodas termins “accessibility” latviski tiek tulkots kā “piekļūstamība”. Šāds termins lietots arī Preču un pakalpojumu piekļūstamības likumā, apzīmējot </w:t>
            </w:r>
            <w:r w:rsidR="00000000" w:rsidRPr="00000000" w:rsidDel="00000000">
              <w:rPr>
                <w:b w:val="1"/>
                <w:rtl w:val="0"/>
              </w:rPr>
              <w:t xml:space="preserve">piekļūstamības prasības videi, informācijai, infrastruktūrai, pakalpojumiem u.c., lai tie būtu ērti lietojami ikvienam, tai skaitā cilvēkiem ar dažāda veida funkcionēšanas ierobežojumiem, t.sk. redzes, dzirdes, kustību vai garīga rakstura traucējumiem</w:t>
            </w:r>
            <w:r w:rsidR="00000000" w:rsidRPr="00000000" w:rsidDel="00000000">
              <w:rPr>
                <w:rtl w:val="0"/>
              </w:rPr>
              <w:t xml:space="preserve">. Pamatojums: LZA Terminoloģijas komisijas 2017.gada lēmums https://termini.gov.lv/kolekcijas/97/skirklis/454405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pieejamība (angl. availability) nozīmē vides/objekta/pakalpojuma pieejamību vai esamību kopumā. Savukārt piekļūstamība (angl. accessibility) nozīmē, ka konkrētajai videi, tostarp digitālajai, ir iespēja fiziski piekļūt, kā arī to var lietot, izmantojot vairākus sensoros (redze, dzirde, tauste) kanālus. Tādējādi pieejamība var izslēgt piekļūstamību, savukārt piekļūstamība ietver arī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noteikumu projekta ietekmi uz personu ar invaliditāti vienlīdzīgām iespējām un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ar invaliditāti digitālo pakalpojumu piekļūstamība nozīmē iespēju patstāvīgi saņemt informāciju, izmantot e-pakalpojumus, sazināties ar valsts pārvaldi un piedalīties sabiedriskajos procesos. Tas būtiski mazina sociālo atstumtību un nodrošina vienlīdzīgas iespējas izglītībā, nodarbinātībā un sabiedriskajā 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nepiekļūstami digitālie risinājumi rada šķēršļus, kas praktiski liedz personām ar redzes, dzirdes, kustību vai uztveres traucējumiem izmantot pakalpojumus, kurus citi lietotāji var izmantot bez ierobežojumiem. Tas neatbilst gan ANO Konvencijas par personu ar invaliditāti tiesībām principiem, Eiropas piekļūstamības aktam (Directive (EU) 2019/882) un Direktīvai (EU) 2016/2102 par publiskā sektora tīmekļvietņu un mobilo lietotņu piekļūstamību. Minēto direktīvu kontekstā piekļūstamība būtu jāsaprot kā principi un metodes, kas jāievēro, projektējot, veidojot, uzturot un atjauninot tīmekļvietnes, pakalpojumus un mobilās lietotnes, lai padarītu tās piekļūstamāku lietotājiem, jo īpaši personām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25-TA-1909</w:t>
    </w:r>
    <w:r>
      <w:br/>
    </w:r>
    <w:r w:rsidR="00000000" w:rsidRPr="00000000" w:rsidDel="00000000">
      <w:rPr>
        <w:rtl w:val="0"/>
      </w:rPr>
      <w:t xml:space="preserve">Izdrukāts 10.11.2025. 11.37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25-TA-1909</w:t>
    </w:r>
    <w:r>
      <w:br/>
    </w:r>
    <w:r w:rsidR="00000000" w:rsidRPr="00000000" w:rsidDel="00000000">
      <w:rPr>
        <w:rtl w:val="0"/>
      </w:rPr>
      <w:t xml:space="preserve">Izdrukāts 10.11.2025. 11.37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Atzinumi_25-TA-1909.docx</dc:title>
</cp:coreProperties>
</file>

<file path=docProps/custom.xml><?xml version="1.0" encoding="utf-8"?>
<Properties xmlns="http://schemas.openxmlformats.org/officeDocument/2006/custom-properties" xmlns:vt="http://schemas.openxmlformats.org/officeDocument/2006/docPropsVTypes"/>
</file>