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E4C63" w14:textId="62364B53" w:rsidR="00D35C95" w:rsidRPr="00E62092" w:rsidRDefault="00D35C95" w:rsidP="00D35C95">
      <w:bookmarkStart w:id="0" w:name="_GoBack"/>
      <w:bookmarkEnd w:id="0"/>
      <w:r w:rsidRPr="00E62092">
        <w:t xml:space="preserve">Uz </w:t>
      </w:r>
      <w:r w:rsidRPr="00E62092">
        <w:rPr>
          <w:szCs w:val="24"/>
        </w:rPr>
        <w:t xml:space="preserve">05.03.2021. </w:t>
      </w:r>
      <w:r w:rsidRPr="00E62092">
        <w:rPr>
          <w:szCs w:val="24"/>
        </w:rPr>
        <w:tab/>
        <w:t xml:space="preserve">VSS prot. Nr. 9 </w:t>
      </w:r>
      <w:r w:rsidR="004F100D">
        <w:rPr>
          <w:szCs w:val="24"/>
        </w:rPr>
        <w:t>5</w:t>
      </w:r>
      <w:r w:rsidRPr="00E62092">
        <w:rPr>
          <w:szCs w:val="24"/>
        </w:rPr>
        <w:t>.§ (</w:t>
      </w:r>
      <w:r w:rsidR="004F100D" w:rsidRPr="004F100D">
        <w:rPr>
          <w:szCs w:val="24"/>
        </w:rPr>
        <w:t>VSS-155</w:t>
      </w:r>
      <w:r w:rsidRPr="00E62092">
        <w:rPr>
          <w:szCs w:val="24"/>
        </w:rPr>
        <w:t>)</w:t>
      </w:r>
    </w:p>
    <w:p w14:paraId="5E7C1C27" w14:textId="165B3EDF" w:rsidR="002E1474" w:rsidRPr="00E62092" w:rsidRDefault="002E1474" w:rsidP="00726E06"/>
    <w:p w14:paraId="45879F78" w14:textId="7EFD89BE" w:rsidR="000D6929" w:rsidRPr="00E62092" w:rsidRDefault="000D6929" w:rsidP="00726E06"/>
    <w:p w14:paraId="63118BA0" w14:textId="2512C970" w:rsidR="00D35C95" w:rsidRPr="00E62092" w:rsidRDefault="00E62092" w:rsidP="00D35C95">
      <w:pPr>
        <w:jc w:val="right"/>
        <w:rPr>
          <w:b/>
          <w:bCs/>
        </w:rPr>
      </w:pPr>
      <w:r w:rsidRPr="00E62092">
        <w:rPr>
          <w:b/>
          <w:bCs/>
        </w:rPr>
        <w:t xml:space="preserve">Finanšu </w:t>
      </w:r>
      <w:r w:rsidR="00D35C95" w:rsidRPr="00E62092">
        <w:rPr>
          <w:b/>
          <w:bCs/>
        </w:rPr>
        <w:t>ministrijai</w:t>
      </w:r>
    </w:p>
    <w:p w14:paraId="33266E2A" w14:textId="77777777" w:rsidR="00D35C95" w:rsidRPr="00E62092" w:rsidRDefault="00D35C95" w:rsidP="00D35C95">
      <w:pPr>
        <w:jc w:val="right"/>
      </w:pPr>
    </w:p>
    <w:p w14:paraId="756AD14C" w14:textId="5C6B2FFF" w:rsidR="004540E0" w:rsidRDefault="00A26363" w:rsidP="004540E0">
      <w:pPr>
        <w:pStyle w:val="Footer"/>
        <w:spacing w:after="120"/>
        <w:ind w:right="4832"/>
        <w:jc w:val="left"/>
        <w:rPr>
          <w:i/>
          <w:iCs/>
        </w:rPr>
      </w:pPr>
      <w:r w:rsidRPr="00E62092">
        <w:rPr>
          <w:i/>
          <w:iCs/>
        </w:rPr>
        <w:t xml:space="preserve">Atzinums par </w:t>
      </w:r>
      <w:r w:rsidR="00E62092" w:rsidRPr="00E62092">
        <w:rPr>
          <w:i/>
          <w:iCs/>
        </w:rPr>
        <w:t>likumprojekt</w:t>
      </w:r>
      <w:r w:rsidR="0090748E">
        <w:rPr>
          <w:i/>
          <w:iCs/>
        </w:rPr>
        <w:t>u</w:t>
      </w:r>
      <w:r w:rsidR="004F100D">
        <w:rPr>
          <w:i/>
          <w:iCs/>
        </w:rPr>
        <w:br/>
      </w:r>
      <w:r w:rsidR="004F100D" w:rsidRPr="004F100D">
        <w:rPr>
          <w:i/>
          <w:iCs/>
        </w:rPr>
        <w:t>"Grozījumi Kredītiestāžu likumā"</w:t>
      </w:r>
    </w:p>
    <w:p w14:paraId="69888C07" w14:textId="022F7F8A" w:rsidR="00D35C95" w:rsidRDefault="00D35C95" w:rsidP="00BA278D">
      <w:pPr>
        <w:pStyle w:val="NormalWeb"/>
        <w:spacing w:before="0" w:after="0"/>
        <w:ind w:right="13" w:firstLine="720"/>
        <w:jc w:val="both"/>
      </w:pPr>
      <w:r w:rsidRPr="00EE4474">
        <w:t xml:space="preserve">Tieslietu ministrija ir </w:t>
      </w:r>
      <w:r w:rsidRPr="00E62092">
        <w:t xml:space="preserve">izskatījusi </w:t>
      </w:r>
      <w:r w:rsidR="00E62092" w:rsidRPr="00E62092">
        <w:t>Finanšu ministrijas</w:t>
      </w:r>
      <w:r w:rsidRPr="00E62092">
        <w:t xml:space="preserve"> sagatavoto </w:t>
      </w:r>
      <w:r w:rsidR="00E62092" w:rsidRPr="00E62092">
        <w:t>liku</w:t>
      </w:r>
      <w:r w:rsidR="00E62092">
        <w:t>m</w:t>
      </w:r>
      <w:r w:rsidR="00E62092" w:rsidRPr="00E62092">
        <w:t>projektu</w:t>
      </w:r>
      <w:r w:rsidR="00A26363" w:rsidRPr="00E62092">
        <w:t xml:space="preserve"> </w:t>
      </w:r>
      <w:r w:rsidR="004F100D" w:rsidRPr="004F100D">
        <w:t xml:space="preserve">"Grozījumi Kredītiestāžu likumā" </w:t>
      </w:r>
      <w:r w:rsidRPr="004540E0">
        <w:t xml:space="preserve">(turpmāk – </w:t>
      </w:r>
      <w:r w:rsidR="00E62092" w:rsidRPr="004540E0">
        <w:t>Likumprojekts</w:t>
      </w:r>
      <w:r w:rsidRPr="004540E0">
        <w:t xml:space="preserve">) </w:t>
      </w:r>
      <w:r w:rsidR="00BA278D" w:rsidRPr="004540E0">
        <w:t>un</w:t>
      </w:r>
      <w:r w:rsidR="00BA278D">
        <w:t xml:space="preserve"> </w:t>
      </w:r>
      <w:r w:rsidR="00BA278D" w:rsidRPr="004540E0">
        <w:t xml:space="preserve">tam pievienoto </w:t>
      </w:r>
      <w:r w:rsidR="00BA278D">
        <w:t>Likumprojekta sākotnējās ietekmes novērtējuma ziņojumu (turpmāk – Anotācija)</w:t>
      </w:r>
      <w:r w:rsidR="00BA278D" w:rsidRPr="004540E0">
        <w:t xml:space="preserve"> un atbalsta to tālāku virzību, vienlaikus izsakot </w:t>
      </w:r>
      <w:r w:rsidR="00BA278D">
        <w:t xml:space="preserve">šādus </w:t>
      </w:r>
      <w:r w:rsidR="00BA278D" w:rsidRPr="004540E0">
        <w:t>iebildumu</w:t>
      </w:r>
      <w:r w:rsidR="00BA278D">
        <w:t>s.</w:t>
      </w:r>
    </w:p>
    <w:p w14:paraId="10FDE78C" w14:textId="6B577901" w:rsidR="00F06066" w:rsidRDefault="00F06066" w:rsidP="00BA278D">
      <w:pPr>
        <w:pStyle w:val="NormalWeb"/>
        <w:ind w:right="13" w:firstLine="720"/>
        <w:jc w:val="both"/>
      </w:pPr>
      <w:r>
        <w:t xml:space="preserve">1. </w:t>
      </w:r>
      <w:r w:rsidR="00BA278D">
        <w:t>V</w:t>
      </w:r>
      <w:r>
        <w:t xml:space="preserve">ēršam uzmanību uz to, ka </w:t>
      </w:r>
      <w:r w:rsidR="00BA278D">
        <w:t>Likum</w:t>
      </w:r>
      <w:r>
        <w:t xml:space="preserve">projekta 2. pantā paredzētajā Kredītiestāžu likuma (turpmāk – </w:t>
      </w:r>
      <w:r w:rsidR="00BA278D">
        <w:t>L</w:t>
      </w:r>
      <w:r>
        <w:t>ikums) 11.</w:t>
      </w:r>
      <w:r w:rsidRPr="00EC2CA5">
        <w:rPr>
          <w:vertAlign w:val="superscript"/>
        </w:rPr>
        <w:t>2</w:t>
      </w:r>
      <w:r>
        <w:t xml:space="preserve"> panta pirmās daļas ievaddaļā minētie vārdi "vēlākais dienā, kad iestājies kāds no šiem nosacījumiem" ir neskaidri, proti, nav skaidrs, kad pirms iepriekš minētās dienas var iesniegt attiecīgo iesniegumu Finanšu un kapitāla tirgus komisijai (turpmāk – </w:t>
      </w:r>
      <w:r w:rsidR="00BA278D">
        <w:t>K</w:t>
      </w:r>
      <w:r>
        <w:t xml:space="preserve">omisija). Ievērojot minēto, lūdzam precizēt projekta 2. pantā paredzētajā </w:t>
      </w:r>
      <w:r w:rsidR="00BA278D">
        <w:t>L</w:t>
      </w:r>
      <w:r>
        <w:t>ikuma 11.</w:t>
      </w:r>
      <w:r w:rsidRPr="00EC2CA5">
        <w:rPr>
          <w:vertAlign w:val="superscript"/>
        </w:rPr>
        <w:t>2</w:t>
      </w:r>
      <w:r>
        <w:t xml:space="preserve"> panta pirmās daļas ievaddaļā ietverto regulējumu vai papildināt </w:t>
      </w:r>
      <w:r w:rsidR="00BA278D">
        <w:t>Anotāciju</w:t>
      </w:r>
      <w:r>
        <w:t xml:space="preserve"> ar atbilstošu skaidrojumu.</w:t>
      </w:r>
    </w:p>
    <w:p w14:paraId="77A8B0A2" w14:textId="41537771" w:rsidR="00F06066" w:rsidRDefault="00F06066" w:rsidP="00BA278D">
      <w:pPr>
        <w:pStyle w:val="NormalWeb"/>
        <w:ind w:right="13" w:firstLine="720"/>
        <w:jc w:val="both"/>
      </w:pPr>
      <w:r>
        <w:t xml:space="preserve">2. </w:t>
      </w:r>
      <w:r w:rsidR="00BA278D">
        <w:t>L</w:t>
      </w:r>
      <w:r>
        <w:t xml:space="preserve">ūdzam precizēt </w:t>
      </w:r>
      <w:r w:rsidR="00BA278D">
        <w:t>Likum</w:t>
      </w:r>
      <w:r>
        <w:t xml:space="preserve">projekta 2. pantā paredzētajā </w:t>
      </w:r>
      <w:r w:rsidR="00BA278D">
        <w:t>L</w:t>
      </w:r>
      <w:r>
        <w:t>ikuma 11.</w:t>
      </w:r>
      <w:r w:rsidRPr="00EC2CA5">
        <w:rPr>
          <w:vertAlign w:val="superscript"/>
        </w:rPr>
        <w:t>2</w:t>
      </w:r>
      <w:r>
        <w:t xml:space="preserve"> panta otrajā daļā ietverto atsauci uz visu </w:t>
      </w:r>
      <w:r w:rsidR="00D443A4">
        <w:t>L</w:t>
      </w:r>
      <w:r>
        <w:t>ikuma II nodaļu, jo tā ir pārāk plaša un līdz ar to neskaidra.</w:t>
      </w:r>
    </w:p>
    <w:p w14:paraId="1D8D41B2" w14:textId="227A9572" w:rsidR="00F06066" w:rsidRDefault="00F06066" w:rsidP="00BA278D">
      <w:pPr>
        <w:pStyle w:val="NormalWeb"/>
        <w:ind w:right="13" w:firstLine="720"/>
        <w:jc w:val="both"/>
      </w:pPr>
      <w:r>
        <w:t xml:space="preserve">3. Ievērojot, ka nav skaidrs, kāda informācija ir minēta </w:t>
      </w:r>
      <w:r w:rsidR="00BA278D">
        <w:t>Likum</w:t>
      </w:r>
      <w:r>
        <w:t xml:space="preserve">projekta 2. pantā paredzētajā </w:t>
      </w:r>
      <w:r w:rsidR="00BA278D">
        <w:t>L</w:t>
      </w:r>
      <w:r>
        <w:t>ikuma 11.</w:t>
      </w:r>
      <w:r w:rsidRPr="00EC2CA5">
        <w:rPr>
          <w:vertAlign w:val="superscript"/>
        </w:rPr>
        <w:t>2</w:t>
      </w:r>
      <w:r>
        <w:t xml:space="preserve"> panta trešajā daļā, lūdzam precizēt </w:t>
      </w:r>
      <w:r w:rsidR="00BA278D">
        <w:t>Likum</w:t>
      </w:r>
      <w:r>
        <w:t xml:space="preserve">projekta 2. pantā paredzētajā </w:t>
      </w:r>
      <w:r w:rsidR="00BA278D">
        <w:t>L</w:t>
      </w:r>
      <w:r>
        <w:t>ikuma 11.</w:t>
      </w:r>
      <w:r w:rsidRPr="00EC2CA5">
        <w:rPr>
          <w:vertAlign w:val="superscript"/>
        </w:rPr>
        <w:t>2</w:t>
      </w:r>
      <w:r>
        <w:t xml:space="preserve"> panta trešajā daļā ietverto regulējumu, kā arī papildināt </w:t>
      </w:r>
      <w:r w:rsidR="00BA278D">
        <w:t>A</w:t>
      </w:r>
      <w:r>
        <w:t xml:space="preserve">notāciju ar atbilstošu skaidrojumu. Vienlaikus vēršam uzmanību uz to, ka </w:t>
      </w:r>
      <w:r w:rsidR="00BA278D">
        <w:t>Likum</w:t>
      </w:r>
      <w:r>
        <w:t xml:space="preserve">projekta 2. pantā paredzētajā </w:t>
      </w:r>
      <w:r w:rsidR="00BA278D">
        <w:t>L</w:t>
      </w:r>
      <w:r>
        <w:t>ikuma 11.</w:t>
      </w:r>
      <w:r w:rsidRPr="00EC2CA5">
        <w:rPr>
          <w:vertAlign w:val="superscript"/>
        </w:rPr>
        <w:t>2</w:t>
      </w:r>
      <w:r>
        <w:t xml:space="preserve"> panta trešajā daļā ietvertā atsauce uz visu </w:t>
      </w:r>
      <w:r w:rsidR="00BA278D">
        <w:t>L</w:t>
      </w:r>
      <w:r>
        <w:t>ikumu ir pārāk plaša un līdz ar to neskaidra.</w:t>
      </w:r>
    </w:p>
    <w:p w14:paraId="4F1E1378" w14:textId="6EB4164A" w:rsidR="00F06066" w:rsidRDefault="00F06066" w:rsidP="00BA278D">
      <w:pPr>
        <w:pStyle w:val="NormalWeb"/>
        <w:ind w:right="13" w:firstLine="720"/>
        <w:jc w:val="both"/>
      </w:pPr>
      <w:r>
        <w:t xml:space="preserve">4. Vēršam uzmanību uz to, ka Administratīvā procesa likuma 59. pantā ir noteikts, kā iestāde iegūst informāciju. Tā, piemēram, Administratīvā procesa likuma 59. panta pirmā un otrā daļa noteic, ka pēc administratīvās lietas ierosināšanas iestāde iegūst informāciju, kas saskaņā ar normatīvajiem aktiem ir nepieciešama, lai pieņemtu attiecīgo lēmumu. Ja iestādei nepieciešamā informācija ir nevis administratīvā procesa dalībnieku, bet gan citas institūcijas rīcībā, iestāde to iegūst pati, nevis pieprasa no administratīvā procesa dalībniekiem. Ievērojot minēto, kā arī to, ka Ministru kabineta 2009.gada 3.februāra noteikumu Nr.108 "Normatīvo aktu projektu sagatavošanas noteikumi" 3.2. apakšpunkts noteic, ka normatīvā akta projektā neietver normas, kas dublē tāda paša spēka normatīvā akta tiesību normās ietverto normatīvo regulējumu, nav skaidrs, kādēļ nepieciešams </w:t>
      </w:r>
      <w:r w:rsidR="00BA278D">
        <w:t>Likum</w:t>
      </w:r>
      <w:r>
        <w:t xml:space="preserve">projekta 2. pantā paredzētajā </w:t>
      </w:r>
      <w:r w:rsidR="00BA278D">
        <w:t>L</w:t>
      </w:r>
      <w:r>
        <w:t>ikuma 11.</w:t>
      </w:r>
      <w:r w:rsidRPr="00EC2CA5">
        <w:rPr>
          <w:vertAlign w:val="superscript"/>
        </w:rPr>
        <w:t>2</w:t>
      </w:r>
      <w:r>
        <w:t xml:space="preserve"> panta ceturtajā daļā ietvertais regulējums. Ievērojot minēto, lūdzam izvērtēt </w:t>
      </w:r>
      <w:r w:rsidR="00BA278D">
        <w:t>Likum</w:t>
      </w:r>
      <w:r>
        <w:t xml:space="preserve">projekta 2. pantā paredzētajā </w:t>
      </w:r>
      <w:r w:rsidR="00BA278D">
        <w:t>L</w:t>
      </w:r>
      <w:r>
        <w:t>ikuma 11.</w:t>
      </w:r>
      <w:r w:rsidRPr="00EC2CA5">
        <w:rPr>
          <w:vertAlign w:val="superscript"/>
        </w:rPr>
        <w:t>2</w:t>
      </w:r>
      <w:r>
        <w:t xml:space="preserve"> panta ceturtajā daļā ietverto regulējumu un precizēt to, kā arī papildināt </w:t>
      </w:r>
      <w:r w:rsidR="00BA278D">
        <w:t>A</w:t>
      </w:r>
      <w:r>
        <w:t>notāciju ar atbilstošu skaidrojumu.</w:t>
      </w:r>
    </w:p>
    <w:p w14:paraId="4FDDB936" w14:textId="249E4368" w:rsidR="00F06066" w:rsidRDefault="00F06066" w:rsidP="00BA278D">
      <w:pPr>
        <w:pStyle w:val="NormalWeb"/>
        <w:ind w:right="13" w:firstLine="720"/>
        <w:jc w:val="both"/>
      </w:pPr>
      <w:r>
        <w:lastRenderedPageBreak/>
        <w:t xml:space="preserve">5. Vēršam uzmanību uz to, ka nav skaidrs, kādēļ </w:t>
      </w:r>
      <w:r w:rsidR="00BA278D">
        <w:t>Likum</w:t>
      </w:r>
      <w:r>
        <w:t xml:space="preserve">projekta 2. pantā paredzētajā </w:t>
      </w:r>
      <w:r w:rsidR="00BA278D">
        <w:t>L</w:t>
      </w:r>
      <w:r>
        <w:t>ikuma 11.</w:t>
      </w:r>
      <w:r w:rsidRPr="00EC2CA5">
        <w:rPr>
          <w:vertAlign w:val="superscript"/>
        </w:rPr>
        <w:t>2</w:t>
      </w:r>
      <w:r>
        <w:t xml:space="preserve"> panta piektajā daļā ir noteikts, ka ieguldījumu brokeru sabiedrība, kura iesniedz </w:t>
      </w:r>
      <w:r w:rsidR="00D443A4">
        <w:t>K</w:t>
      </w:r>
      <w:r>
        <w:t xml:space="preserve">omisijai iesniegumu kredītiestādes licences (atļaujas) saņemšanai, ir tiesīga sniegt šā panta pirmajā daļā minētos ieguldījumu pakalpojumus bez kredītiestādes licences (atļaujas) līdz brīdim, kad tā saņem kredītiestādes licenci (atļauju). Ievērojot minēto, lūdzam izvērtēt </w:t>
      </w:r>
      <w:r w:rsidR="00BA278D">
        <w:t>Likum</w:t>
      </w:r>
      <w:r>
        <w:t xml:space="preserve">projekta 2. pantā paredzētajā </w:t>
      </w:r>
      <w:r w:rsidR="00BA278D">
        <w:t>L</w:t>
      </w:r>
      <w:r>
        <w:t>ikuma 11.</w:t>
      </w:r>
      <w:r w:rsidRPr="00EC2CA5">
        <w:rPr>
          <w:vertAlign w:val="superscript"/>
        </w:rPr>
        <w:t>2</w:t>
      </w:r>
      <w:r>
        <w:t xml:space="preserve"> panta piektajā daļā ietverto regulējumu un precizēt to vai papildināt </w:t>
      </w:r>
      <w:r w:rsidR="00BA278D">
        <w:t>A</w:t>
      </w:r>
      <w:r>
        <w:t>notāciju ar atbilstošu skaidrojumu.</w:t>
      </w:r>
    </w:p>
    <w:p w14:paraId="08172590" w14:textId="7D26C8AE" w:rsidR="00F06066" w:rsidRDefault="00F06066" w:rsidP="00BA278D">
      <w:pPr>
        <w:pStyle w:val="NormalWeb"/>
        <w:ind w:right="13" w:firstLine="720"/>
        <w:jc w:val="both"/>
      </w:pPr>
      <w:r>
        <w:t xml:space="preserve">6. Ievērojot, ka nav skaidrs, kādēļ </w:t>
      </w:r>
      <w:r w:rsidR="00BA278D">
        <w:t>Likum</w:t>
      </w:r>
      <w:r>
        <w:t xml:space="preserve">projekta 4. pantā paredzētajā </w:t>
      </w:r>
      <w:r w:rsidR="00BA278D">
        <w:t>Li</w:t>
      </w:r>
      <w:r>
        <w:t>kuma 27. panta 1.</w:t>
      </w:r>
      <w:r w:rsidRPr="00EC2CA5">
        <w:rPr>
          <w:vertAlign w:val="superscript"/>
        </w:rPr>
        <w:t>1</w:t>
      </w:r>
      <w:r>
        <w:t xml:space="preserve"> daļā tiek noteikts piecu gadu termiņš, lūdzam izvērtēt </w:t>
      </w:r>
      <w:r w:rsidR="00BA278D">
        <w:t>Likum</w:t>
      </w:r>
      <w:r>
        <w:t xml:space="preserve">projekta 4. pantā paredzētajā </w:t>
      </w:r>
      <w:r w:rsidR="00BA278D">
        <w:t>L</w:t>
      </w:r>
      <w:r>
        <w:t>ikuma 27. panta 1.</w:t>
      </w:r>
      <w:r w:rsidRPr="00EC2CA5">
        <w:rPr>
          <w:vertAlign w:val="superscript"/>
        </w:rPr>
        <w:t>1</w:t>
      </w:r>
      <w:r>
        <w:t xml:space="preserve"> daļā ietverto regulējumu  un precizēt to vai papildināt </w:t>
      </w:r>
      <w:r w:rsidR="00BA278D">
        <w:t>A</w:t>
      </w:r>
      <w:r>
        <w:t>notāciju ar atbilstošu skaidrojumu.</w:t>
      </w:r>
    </w:p>
    <w:p w14:paraId="7B08A9B9" w14:textId="14E89E6C" w:rsidR="00F06066" w:rsidRDefault="00F06066" w:rsidP="00BA278D">
      <w:pPr>
        <w:pStyle w:val="NormalWeb"/>
        <w:ind w:right="13" w:firstLine="720"/>
        <w:jc w:val="both"/>
      </w:pPr>
      <w:r>
        <w:t xml:space="preserve">7. </w:t>
      </w:r>
      <w:r w:rsidR="00BA278D">
        <w:t>Likump</w:t>
      </w:r>
      <w:r>
        <w:t xml:space="preserve">rojekta 5. pants paredz papildināt </w:t>
      </w:r>
      <w:r w:rsidR="00BA278D">
        <w:t>Li</w:t>
      </w:r>
      <w:r>
        <w:t xml:space="preserve">kuma 198. pantu ar divpadsmito daļu, nosakot, ka par pakalpojumu sniegšanu bez kredītiestādes licences (atļaujas), kas izsniegta saskaņā ar šā </w:t>
      </w:r>
      <w:r w:rsidR="00D443A4">
        <w:t>L</w:t>
      </w:r>
      <w:r>
        <w:t>ikuma 11.</w:t>
      </w:r>
      <w:r w:rsidRPr="00EC2CA5">
        <w:rPr>
          <w:vertAlign w:val="superscript"/>
        </w:rPr>
        <w:t>2</w:t>
      </w:r>
      <w:r>
        <w:t xml:space="preserve"> pantā noteikto, </w:t>
      </w:r>
      <w:r w:rsidR="00BA278D">
        <w:t>K</w:t>
      </w:r>
      <w:r>
        <w:t>omisija ir tiesīga piemērot šā panta desmitajā daļā noteiktās sankcijas.</w:t>
      </w:r>
    </w:p>
    <w:p w14:paraId="1664290D" w14:textId="77777777" w:rsidR="00F06066" w:rsidRDefault="00F06066" w:rsidP="00BA278D">
      <w:pPr>
        <w:pStyle w:val="NormalWeb"/>
        <w:ind w:right="13" w:firstLine="720"/>
        <w:jc w:val="both"/>
      </w:pPr>
      <w:r>
        <w:t>Vēršam uzmanību uz to, ka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w:t>
      </w:r>
    </w:p>
    <w:p w14:paraId="1B87A188" w14:textId="6F64025A" w:rsidR="00F06066" w:rsidRDefault="00F06066" w:rsidP="00BA278D">
      <w:pPr>
        <w:pStyle w:val="NormalWeb"/>
        <w:ind w:right="13" w:firstLine="720"/>
        <w:jc w:val="both"/>
      </w:pPr>
      <w:r>
        <w:t xml:space="preserve">Šobrīd ir pieņemts daudz atbilstošāks regulējums – Administratīvās atbildības likums. Gan no personas tiesību nodrošināšanas viedokļa, gan sistēmiski labāks risinājums ir iekļaut ar </w:t>
      </w:r>
      <w:r w:rsidR="00780752">
        <w:t>L</w:t>
      </w:r>
      <w:r>
        <w:t>ikumprojektu saistīto sodoša rakstura administratīvo sankciju piemērošanu administratīvā pārkāpuma procesa regulējumā.</w:t>
      </w:r>
    </w:p>
    <w:p w14:paraId="3D4C8EA9" w14:textId="4DD79EA1" w:rsidR="00F06066" w:rsidRDefault="00F06066" w:rsidP="00BA278D">
      <w:pPr>
        <w:pStyle w:val="NormalWeb"/>
        <w:ind w:right="13" w:firstLine="720"/>
        <w:jc w:val="both"/>
      </w:pPr>
      <w:r>
        <w:t xml:space="preserve">Ievērojot minēto, nav atbalstāms projektā paredzētais sodoša rakstura administratīvo sankciju regulējums, to nepieciešams pilnveidot un iekļaut </w:t>
      </w:r>
      <w:r w:rsidR="00BA278D">
        <w:t>a</w:t>
      </w:r>
      <w:r>
        <w:t>dministratīvās atbildības sistēmā.</w:t>
      </w:r>
    </w:p>
    <w:p w14:paraId="3D09C256" w14:textId="1C693F3F" w:rsidR="00F06066" w:rsidRDefault="00F06066" w:rsidP="00BA278D">
      <w:pPr>
        <w:pStyle w:val="NormalWeb"/>
        <w:ind w:right="13" w:firstLine="720"/>
        <w:jc w:val="both"/>
      </w:pPr>
      <w:r>
        <w:t>Turklāt, lai arī noilguma termiņa neesība normatīvajā aktā pati par sevi neizslēdz iespēju piemērot sodu, tiesiskās noteiktības interesēs tādu ir svarīgi noteikt it īpaši tajos gadījumos, kad valsts pārvaldes iestādēm tiek piešķirtas tiesības piemērot sodus ārpus Administratīvās atbildības likumā noteiktās administratīvās atbildības sistēmas</w:t>
      </w:r>
      <w:r w:rsidR="00BA278D">
        <w:t>.</w:t>
      </w:r>
      <w:r w:rsidR="00BA278D">
        <w:rPr>
          <w:rStyle w:val="FootnoteReference"/>
        </w:rPr>
        <w:footnoteReference w:id="1"/>
      </w:r>
      <w:r>
        <w:t xml:space="preserve"> Noilguma termiņa izvēlē izmantojami kritēriji, kas ir Krimināllikumā un Administratīvās atbildības likumā ietvertā noilguma institūta pamatā.</w:t>
      </w:r>
    </w:p>
    <w:p w14:paraId="3A712805" w14:textId="6E8A9959" w:rsidR="00F06066" w:rsidRDefault="00F06066" w:rsidP="00BA278D">
      <w:pPr>
        <w:pStyle w:val="NormalWeb"/>
        <w:ind w:right="13" w:firstLine="720"/>
        <w:jc w:val="both"/>
      </w:pPr>
      <w:r>
        <w:t xml:space="preserve">Papildus vēršam uzmanību uz to, ka nepieciešams izvērtēt </w:t>
      </w:r>
      <w:r w:rsidR="00BA278D">
        <w:t>Likum</w:t>
      </w:r>
      <w:r>
        <w:t xml:space="preserve">projekta 5. pantā paredzētajā </w:t>
      </w:r>
      <w:r w:rsidR="00BA278D">
        <w:t>Li</w:t>
      </w:r>
      <w:r>
        <w:t xml:space="preserve">kuma 198. panta divpadsmitajā daļā ietverto atsauci uz visām šā panta desmitajā daļā noteiktajām sankcijām, jo tā ir pārāk plaša un līdz ar to nav skaidrs, kādēļ vajadzētu attiecināt jebkuru no </w:t>
      </w:r>
      <w:r w:rsidR="00BA278D">
        <w:t>L</w:t>
      </w:r>
      <w:r>
        <w:t>ikuma 198. panta desmitajā daļā noteiktajām sankcijām, proti, darbība bez licences ir konkrēts pārkāpums, par ko vajadzētu noteikt pietiekami precīzu sodu.</w:t>
      </w:r>
    </w:p>
    <w:p w14:paraId="22192C4C" w14:textId="01953F59" w:rsidR="00F06066" w:rsidRDefault="00F06066" w:rsidP="00BA278D">
      <w:pPr>
        <w:pStyle w:val="NormalWeb"/>
        <w:ind w:right="13" w:firstLine="720"/>
        <w:jc w:val="both"/>
      </w:pPr>
      <w:r>
        <w:t xml:space="preserve">Ievērojot minēto, lūdzam izvērtēt </w:t>
      </w:r>
      <w:r w:rsidR="00BA278D">
        <w:t>Likum</w:t>
      </w:r>
      <w:r>
        <w:t xml:space="preserve">projekta 5. pantā paredzētajā </w:t>
      </w:r>
      <w:r w:rsidR="00BA278D">
        <w:t>L</w:t>
      </w:r>
      <w:r>
        <w:t xml:space="preserve">ikuma 198. panta divpadsmitajā daļā ietverto regulējumu un attiecīgi precizēt </w:t>
      </w:r>
      <w:r w:rsidR="00BA278D">
        <w:t>Likum</w:t>
      </w:r>
      <w:r>
        <w:t>projektu.</w:t>
      </w:r>
    </w:p>
    <w:p w14:paraId="0E64DC04" w14:textId="77777777" w:rsidR="00D54CD9" w:rsidRDefault="00F06066" w:rsidP="00BA278D">
      <w:pPr>
        <w:pStyle w:val="NormalWeb"/>
        <w:ind w:right="13" w:firstLine="720"/>
        <w:jc w:val="both"/>
      </w:pPr>
      <w:r>
        <w:t xml:space="preserve">8. Anotācijas kopsavilkumā ir norādīts, ka </w:t>
      </w:r>
      <w:r w:rsidR="00BA278D">
        <w:t>Likum</w:t>
      </w:r>
      <w:r>
        <w:t xml:space="preserve">projekta mērķis ir saskaņot </w:t>
      </w:r>
      <w:r w:rsidR="00780752">
        <w:t>L</w:t>
      </w:r>
      <w:r>
        <w:t xml:space="preserve">ikuma normas ar likumprojekta "Ieguldījumu brokeru sabiedrību likums" normām, lai nodrošinātu tiesību sistēmas saskaņotību un pārņemtu Direktīvas 2019/2034 prasības. Vienlaikus </w:t>
      </w:r>
      <w:r w:rsidR="00780752">
        <w:t>Likum</w:t>
      </w:r>
      <w:r>
        <w:t xml:space="preserve">projektā nav noteikts, ka kādas no tā normām stājas spēkā vienlaikus ar likumprojektu "Ieguldījumu brokeru sabiedrību likums". Anotācijas IV sadaļas 1. punktā norādīts, ka </w:t>
      </w:r>
      <w:r w:rsidR="00780752">
        <w:t>Likum</w:t>
      </w:r>
      <w:r>
        <w:t xml:space="preserve">projekts Ministru kabinetā un Saeimā izskatāms vienlaicīgi ar likumprojektu "Ieguldījumu brokeru sabiedrību likums" un citiem ar to saistītajiem likumprojektiem. Vēršam uzmanību uz to, ka vairāku saistītu likumprojektu izskatīšana vienlaicīgi nenodrošina, ka tie arī stāsies spēkā vienlaicīgi. </w:t>
      </w:r>
    </w:p>
    <w:p w14:paraId="3AC52957" w14:textId="7E1BDFC7" w:rsidR="00F06066" w:rsidRDefault="00F06066" w:rsidP="00BA278D">
      <w:pPr>
        <w:pStyle w:val="NormalWeb"/>
        <w:ind w:right="13" w:firstLine="720"/>
        <w:jc w:val="both"/>
      </w:pPr>
      <w:r>
        <w:lastRenderedPageBreak/>
        <w:t xml:space="preserve">Ņemot vērā minēto, lūdzam papildināt </w:t>
      </w:r>
      <w:r w:rsidR="00D443A4">
        <w:t>Likum</w:t>
      </w:r>
      <w:r>
        <w:t xml:space="preserve">projektu, nosakot, kuras </w:t>
      </w:r>
      <w:r w:rsidR="00D443A4">
        <w:t>Likum</w:t>
      </w:r>
      <w:r>
        <w:t xml:space="preserve">projekta normas stāsies spēkā vienlaikus ar likumprojektu "Ieguldījumu brokeru sabiedrību likums". Turklāt lūdzam papildināt </w:t>
      </w:r>
      <w:r w:rsidR="00780752">
        <w:t>A</w:t>
      </w:r>
      <w:r>
        <w:t xml:space="preserve">notāciju ar skaidrojumu par to, kuras </w:t>
      </w:r>
      <w:r w:rsidR="00780752">
        <w:t>Likum</w:t>
      </w:r>
      <w:r>
        <w:t xml:space="preserve">projektā paredzētās </w:t>
      </w:r>
      <w:r w:rsidR="00780752">
        <w:t>L</w:t>
      </w:r>
      <w:r>
        <w:t>ikuma normas ir saskaņotas ar likumprojekta "Ieguldījumu brokeru sabiedrību likums" normām.</w:t>
      </w:r>
    </w:p>
    <w:p w14:paraId="5F9A4558" w14:textId="44E144AA" w:rsidR="000D6929" w:rsidRDefault="000D6929" w:rsidP="00726E06"/>
    <w:p w14:paraId="7B4F778A" w14:textId="0453DED2" w:rsidR="000D6929" w:rsidRDefault="000D6929" w:rsidP="00726E06"/>
    <w:p w14:paraId="2097BF8F" w14:textId="77777777" w:rsidR="004F100D" w:rsidRDefault="004F100D" w:rsidP="00726E06"/>
    <w:p w14:paraId="52383766" w14:textId="77777777" w:rsidR="00D35C95" w:rsidRDefault="00D35C95" w:rsidP="00D35C95">
      <w:pPr>
        <w:pStyle w:val="NormalWeb"/>
        <w:spacing w:before="0" w:after="0"/>
        <w:ind w:right="13"/>
        <w:jc w:val="both"/>
      </w:pPr>
      <w:r>
        <w:t>Valsts sekretāra vietniece</w:t>
      </w:r>
    </w:p>
    <w:p w14:paraId="51B216C6" w14:textId="77777777" w:rsidR="00D35C95" w:rsidRDefault="00D35C95" w:rsidP="00D35C95">
      <w:pPr>
        <w:pStyle w:val="NormalWeb"/>
        <w:spacing w:before="0" w:after="0"/>
        <w:ind w:right="13"/>
        <w:jc w:val="both"/>
      </w:pPr>
      <w:r>
        <w:t xml:space="preserve">tiesību politikas jautājumos </w:t>
      </w:r>
      <w:r>
        <w:tab/>
      </w:r>
      <w:r>
        <w:tab/>
      </w:r>
      <w:r>
        <w:tab/>
      </w:r>
      <w:r>
        <w:tab/>
      </w:r>
      <w:r>
        <w:tab/>
      </w:r>
      <w:r>
        <w:tab/>
      </w:r>
      <w:r>
        <w:tab/>
      </w:r>
      <w:r>
        <w:tab/>
        <w:t>L.Medina</w:t>
      </w:r>
    </w:p>
    <w:p w14:paraId="38209826" w14:textId="77777777" w:rsidR="00D35C95" w:rsidRDefault="00D35C95" w:rsidP="00D35C95">
      <w:pPr>
        <w:pStyle w:val="NormalWeb"/>
        <w:spacing w:before="0" w:after="0"/>
        <w:ind w:right="13"/>
        <w:jc w:val="both"/>
      </w:pPr>
    </w:p>
    <w:p w14:paraId="5579CB10" w14:textId="77777777" w:rsidR="00D35C95" w:rsidRDefault="00D35C95" w:rsidP="00D35C95">
      <w:pPr>
        <w:pStyle w:val="NormalWeb"/>
        <w:spacing w:before="0" w:after="0"/>
        <w:ind w:right="13"/>
        <w:jc w:val="both"/>
      </w:pPr>
    </w:p>
    <w:p w14:paraId="5CB9755D" w14:textId="20A7B9FE" w:rsidR="00F06066" w:rsidRPr="00F06066" w:rsidRDefault="00D35C95" w:rsidP="00F06066">
      <w:pPr>
        <w:rPr>
          <w:i/>
          <w:iCs/>
          <w:color w:val="0000FF" w:themeColor="hyperlink"/>
          <w:sz w:val="20"/>
          <w:szCs w:val="20"/>
          <w:u w:val="single"/>
        </w:rPr>
      </w:pPr>
      <w:r w:rsidRPr="00F06066">
        <w:rPr>
          <w:i/>
          <w:iCs/>
          <w:color w:val="000000" w:themeColor="text1"/>
          <w:sz w:val="20"/>
          <w:szCs w:val="20"/>
        </w:rPr>
        <w:t>Gusārova</w:t>
      </w:r>
      <w:r w:rsidR="00F06066" w:rsidRPr="00F06066">
        <w:rPr>
          <w:i/>
          <w:iCs/>
          <w:color w:val="000000" w:themeColor="text1"/>
          <w:sz w:val="20"/>
          <w:szCs w:val="20"/>
        </w:rPr>
        <w:t xml:space="preserve"> 67031734</w:t>
      </w:r>
    </w:p>
    <w:p w14:paraId="2D6ED7E2" w14:textId="77777777" w:rsidR="00F06066" w:rsidRPr="00F06066" w:rsidRDefault="00F06066" w:rsidP="00F06066">
      <w:pPr>
        <w:pStyle w:val="NormalWeb"/>
        <w:spacing w:before="0" w:after="0"/>
        <w:ind w:right="13"/>
        <w:jc w:val="both"/>
        <w:rPr>
          <w:i/>
          <w:iCs/>
          <w:sz w:val="20"/>
          <w:szCs w:val="20"/>
        </w:rPr>
      </w:pPr>
      <w:r w:rsidRPr="00F06066">
        <w:rPr>
          <w:i/>
          <w:iCs/>
          <w:sz w:val="20"/>
          <w:szCs w:val="20"/>
        </w:rPr>
        <w:t>Māliņa 67036910</w:t>
      </w:r>
    </w:p>
    <w:p w14:paraId="382D962A" w14:textId="47E6972F" w:rsidR="000D6929" w:rsidRDefault="000D6929" w:rsidP="00726E06"/>
    <w:p w14:paraId="5E7C1C29" w14:textId="77777777" w:rsidR="00830970" w:rsidRPr="0087450D" w:rsidRDefault="00830970" w:rsidP="007B3740"/>
    <w:sectPr w:rsidR="00830970" w:rsidRPr="0087450D" w:rsidSect="00D54CD9">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417B1E" w14:textId="77777777" w:rsidR="00894110" w:rsidRDefault="00894110">
      <w:r>
        <w:separator/>
      </w:r>
    </w:p>
  </w:endnote>
  <w:endnote w:type="continuationSeparator" w:id="0">
    <w:p w14:paraId="5929360E" w14:textId="77777777" w:rsidR="00894110" w:rsidRDefault="00894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43E86" w14:textId="23497DD9" w:rsidR="00F06066" w:rsidRPr="00F06066" w:rsidRDefault="00F06066">
    <w:pPr>
      <w:pStyle w:val="Footer"/>
      <w:rPr>
        <w:sz w:val="20"/>
        <w:szCs w:val="20"/>
      </w:rPr>
    </w:pPr>
    <w:r w:rsidRPr="00270540">
      <w:rPr>
        <w:sz w:val="20"/>
        <w:szCs w:val="20"/>
      </w:rPr>
      <w:t>TMAtz_</w:t>
    </w:r>
    <w:r>
      <w:rPr>
        <w:sz w:val="20"/>
        <w:szCs w:val="20"/>
      </w:rPr>
      <w:t>1603</w:t>
    </w:r>
    <w:r w:rsidRPr="00270540">
      <w:rPr>
        <w:sz w:val="20"/>
        <w:szCs w:val="20"/>
      </w:rPr>
      <w:t>2</w:t>
    </w:r>
    <w:r>
      <w:rPr>
        <w:sz w:val="20"/>
        <w:szCs w:val="20"/>
      </w:rPr>
      <w:t>1_KIL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30DE" w14:textId="2CE0FB06" w:rsidR="00887350" w:rsidRPr="00D61480" w:rsidRDefault="00D61480">
    <w:pPr>
      <w:pStyle w:val="Footer"/>
      <w:rPr>
        <w:sz w:val="20"/>
        <w:szCs w:val="20"/>
      </w:rPr>
    </w:pPr>
    <w:r w:rsidRPr="00270540">
      <w:rPr>
        <w:sz w:val="20"/>
        <w:szCs w:val="20"/>
      </w:rPr>
      <w:t>TMAtz_</w:t>
    </w:r>
    <w:r>
      <w:rPr>
        <w:sz w:val="20"/>
        <w:szCs w:val="20"/>
      </w:rPr>
      <w:t>1</w:t>
    </w:r>
    <w:r w:rsidR="00F06066">
      <w:rPr>
        <w:sz w:val="20"/>
        <w:szCs w:val="20"/>
      </w:rPr>
      <w:t>6</w:t>
    </w:r>
    <w:r>
      <w:rPr>
        <w:sz w:val="20"/>
        <w:szCs w:val="20"/>
      </w:rPr>
      <w:t>03</w:t>
    </w:r>
    <w:r w:rsidRPr="00270540">
      <w:rPr>
        <w:sz w:val="20"/>
        <w:szCs w:val="20"/>
      </w:rPr>
      <w:t>2</w:t>
    </w:r>
    <w:r>
      <w:rPr>
        <w:sz w:val="20"/>
        <w:szCs w:val="20"/>
      </w:rPr>
      <w:t>1</w:t>
    </w:r>
    <w:r w:rsidR="004540E0">
      <w:rPr>
        <w:sz w:val="20"/>
        <w:szCs w:val="20"/>
      </w:rPr>
      <w:t>_</w:t>
    </w:r>
    <w:r w:rsidR="00F06066">
      <w:rPr>
        <w:sz w:val="20"/>
        <w:szCs w:val="20"/>
      </w:rPr>
      <w:t>KIL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6B4C1" w14:textId="77777777" w:rsidR="00894110" w:rsidRDefault="00894110">
      <w:r>
        <w:separator/>
      </w:r>
    </w:p>
  </w:footnote>
  <w:footnote w:type="continuationSeparator" w:id="0">
    <w:p w14:paraId="22B092F4" w14:textId="77777777" w:rsidR="00894110" w:rsidRDefault="00894110">
      <w:r>
        <w:continuationSeparator/>
      </w:r>
    </w:p>
  </w:footnote>
  <w:footnote w:id="1">
    <w:p w14:paraId="58ACE3F7" w14:textId="588A695E" w:rsidR="00BA278D" w:rsidRDefault="00BA278D">
      <w:pPr>
        <w:pStyle w:val="FootnoteText"/>
      </w:pPr>
      <w:r>
        <w:rPr>
          <w:rStyle w:val="FootnoteReference"/>
        </w:rPr>
        <w:footnoteRef/>
      </w:r>
      <w:r>
        <w:t xml:space="preserve"> Danovskis E. Sodu tiesību principu nozīme administratīvajās tiesībās. Grām</w:t>
      </w:r>
      <w:r w:rsidR="00D54CD9">
        <w:t>ata</w:t>
      </w:r>
      <w:r>
        <w:t>: Autoru kolektīvs. Juridisko personu publiski tiesiskā atbildība. Rīga: LU Akadēmiskais apgāds, 2018, 139.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5E7C1C2E" w14:textId="4E15F2A8" w:rsidR="007B3740" w:rsidRDefault="007B3740">
        <w:pPr>
          <w:pStyle w:val="Header"/>
          <w:jc w:val="center"/>
        </w:pPr>
        <w:r>
          <w:fldChar w:fldCharType="begin"/>
        </w:r>
        <w:r>
          <w:instrText>PAGE   \* MERGEFORMAT</w:instrText>
        </w:r>
        <w:r>
          <w:fldChar w:fldCharType="separate"/>
        </w:r>
        <w:r w:rsidR="007B01C8">
          <w:rPr>
            <w:noProof/>
          </w:rPr>
          <w:t>3</w:t>
        </w:r>
        <w:r>
          <w:fldChar w:fldCharType="end"/>
        </w:r>
      </w:p>
    </w:sdtContent>
  </w:sdt>
  <w:p w14:paraId="5E7C1C2F"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A42774"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Header"/>
            <w:jc w:val="center"/>
            <w:rPr>
              <w:szCs w:val="24"/>
            </w:rPr>
          </w:pPr>
          <w:r>
            <w:t>25.03.2021</w:t>
          </w:r>
          <w:r>
            <w:rPr>
              <w:szCs w:val="24"/>
            </w:rPr>
            <w:t>.</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1-9.1/321</w:t>
          </w:r>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30349"/>
    <w:rsid w:val="00091ABD"/>
    <w:rsid w:val="000D6929"/>
    <w:rsid w:val="000E7F03"/>
    <w:rsid w:val="00124173"/>
    <w:rsid w:val="001745CA"/>
    <w:rsid w:val="001A421B"/>
    <w:rsid w:val="00231B7C"/>
    <w:rsid w:val="00275B9E"/>
    <w:rsid w:val="002B3077"/>
    <w:rsid w:val="002E1474"/>
    <w:rsid w:val="003071E3"/>
    <w:rsid w:val="00335032"/>
    <w:rsid w:val="003450BC"/>
    <w:rsid w:val="0043122B"/>
    <w:rsid w:val="00441F52"/>
    <w:rsid w:val="004540E0"/>
    <w:rsid w:val="00493308"/>
    <w:rsid w:val="004F100D"/>
    <w:rsid w:val="00535564"/>
    <w:rsid w:val="005E672B"/>
    <w:rsid w:val="00663C3A"/>
    <w:rsid w:val="006C1639"/>
    <w:rsid w:val="006C6018"/>
    <w:rsid w:val="00724680"/>
    <w:rsid w:val="00726E06"/>
    <w:rsid w:val="00747CCB"/>
    <w:rsid w:val="00753AB8"/>
    <w:rsid w:val="007704BD"/>
    <w:rsid w:val="00780752"/>
    <w:rsid w:val="007B01C8"/>
    <w:rsid w:val="007B3740"/>
    <w:rsid w:val="007B3BA5"/>
    <w:rsid w:val="007B48EC"/>
    <w:rsid w:val="007E0D0E"/>
    <w:rsid w:val="007E4D1F"/>
    <w:rsid w:val="00815277"/>
    <w:rsid w:val="00816499"/>
    <w:rsid w:val="00830970"/>
    <w:rsid w:val="0087450D"/>
    <w:rsid w:val="00876C21"/>
    <w:rsid w:val="00883533"/>
    <w:rsid w:val="00887350"/>
    <w:rsid w:val="00894110"/>
    <w:rsid w:val="008A679D"/>
    <w:rsid w:val="008E3CED"/>
    <w:rsid w:val="0090748E"/>
    <w:rsid w:val="00930FFE"/>
    <w:rsid w:val="00954D5A"/>
    <w:rsid w:val="0096342D"/>
    <w:rsid w:val="009D6B6A"/>
    <w:rsid w:val="00A26363"/>
    <w:rsid w:val="00A34ACB"/>
    <w:rsid w:val="00A74C62"/>
    <w:rsid w:val="00A811CF"/>
    <w:rsid w:val="00A84FC7"/>
    <w:rsid w:val="00AB4E8A"/>
    <w:rsid w:val="00AC270F"/>
    <w:rsid w:val="00AF10A5"/>
    <w:rsid w:val="00BA278D"/>
    <w:rsid w:val="00BB087F"/>
    <w:rsid w:val="00C006CF"/>
    <w:rsid w:val="00C04896"/>
    <w:rsid w:val="00C14094"/>
    <w:rsid w:val="00C255D9"/>
    <w:rsid w:val="00C47F57"/>
    <w:rsid w:val="00C836FF"/>
    <w:rsid w:val="00CD0E2E"/>
    <w:rsid w:val="00CD7CE9"/>
    <w:rsid w:val="00CE1449"/>
    <w:rsid w:val="00CE1E32"/>
    <w:rsid w:val="00CF0967"/>
    <w:rsid w:val="00D21FA6"/>
    <w:rsid w:val="00D35C95"/>
    <w:rsid w:val="00D443A4"/>
    <w:rsid w:val="00D451A6"/>
    <w:rsid w:val="00D457D7"/>
    <w:rsid w:val="00D54CD9"/>
    <w:rsid w:val="00D55B4B"/>
    <w:rsid w:val="00D61480"/>
    <w:rsid w:val="00D90DAE"/>
    <w:rsid w:val="00E11DA3"/>
    <w:rsid w:val="00E365CE"/>
    <w:rsid w:val="00E40434"/>
    <w:rsid w:val="00E44743"/>
    <w:rsid w:val="00E62092"/>
    <w:rsid w:val="00EC2CA5"/>
    <w:rsid w:val="00EC3533"/>
    <w:rsid w:val="00EC37FD"/>
    <w:rsid w:val="00F06066"/>
    <w:rsid w:val="00F60586"/>
    <w:rsid w:val="00F9227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35C95"/>
    <w:pPr>
      <w:widowControl/>
      <w:spacing w:before="75" w:after="75"/>
      <w:jc w:val="left"/>
    </w:pPr>
    <w:rPr>
      <w:rFonts w:eastAsia="Times New Roman"/>
      <w:szCs w:val="24"/>
      <w:lang w:eastAsia="lv-LV"/>
    </w:rPr>
  </w:style>
  <w:style w:type="paragraph" w:styleId="FootnoteText">
    <w:name w:val="footnote text"/>
    <w:basedOn w:val="Normal"/>
    <w:link w:val="FootnoteTextChar"/>
    <w:uiPriority w:val="99"/>
    <w:semiHidden/>
    <w:unhideWhenUsed/>
    <w:rsid w:val="00BA278D"/>
    <w:rPr>
      <w:sz w:val="20"/>
      <w:szCs w:val="20"/>
    </w:rPr>
  </w:style>
  <w:style w:type="character" w:customStyle="1" w:styleId="FootnoteTextChar">
    <w:name w:val="Footnote Text Char"/>
    <w:basedOn w:val="DefaultParagraphFont"/>
    <w:link w:val="FootnoteText"/>
    <w:uiPriority w:val="99"/>
    <w:semiHidden/>
    <w:rsid w:val="00BA278D"/>
    <w:rPr>
      <w:rFonts w:ascii="Times New Roman" w:hAnsi="Times New Roman"/>
      <w:lang w:eastAsia="en-US"/>
    </w:rPr>
  </w:style>
  <w:style w:type="character" w:styleId="FootnoteReference">
    <w:name w:val="footnote reference"/>
    <w:basedOn w:val="DefaultParagraphFont"/>
    <w:uiPriority w:val="99"/>
    <w:semiHidden/>
    <w:unhideWhenUsed/>
    <w:rsid w:val="00BA27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752983">
      <w:bodyDiv w:val="1"/>
      <w:marLeft w:val="0"/>
      <w:marRight w:val="0"/>
      <w:marTop w:val="0"/>
      <w:marBottom w:val="0"/>
      <w:divBdr>
        <w:top w:val="none" w:sz="0" w:space="0" w:color="auto"/>
        <w:left w:val="none" w:sz="0" w:space="0" w:color="auto"/>
        <w:bottom w:val="none" w:sz="0" w:space="0" w:color="auto"/>
        <w:right w:val="none" w:sz="0" w:space="0" w:color="auto"/>
      </w:divBdr>
    </w:div>
    <w:div w:id="659119032">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60028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B951A-559E-49FE-8AD0-5BBEED74E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4496</Words>
  <Characters>2564</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Aivis Hammers</cp:lastModifiedBy>
  <cp:revision>2</cp:revision>
  <cp:lastPrinted>2015-01-09T08:13:00Z</cp:lastPrinted>
  <dcterms:created xsi:type="dcterms:W3CDTF">2021-03-25T13:56:00Z</dcterms:created>
  <dcterms:modified xsi:type="dcterms:W3CDTF">2021-03-25T13:56:00Z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