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Invaliditātes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būs nepieciešams veikt grozījumus Ministru kabineta 2022. gada 6. decembra noteikumos Nr. 759 "Invaliditātes informatīvās sistēmas noteikumi", lūdzam papildināt anotāciju ar norādi arī uz 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anotācijas sadaļu ar datu apstrādes atbilstības izvērtējumu atbilstoši Eiropas Parlamenta un Padomes Regulas (ES) 2016/679 par fizisko personu aizsardzību attiecībā uz personas datu apstrādi un šādu datu brīvu apriti un ar ko atceļ Direktīvu 95/46/EK (Vispārīgā datu aizsardzības regula)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17.01.2023.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17.01.2023.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Atzinumi_23-TA-116.docx</dc:title>
</cp:coreProperties>
</file>

<file path=docProps/custom.xml><?xml version="1.0" encoding="utf-8"?>
<Properties xmlns="http://schemas.openxmlformats.org/officeDocument/2006/custom-properties" xmlns:vt="http://schemas.openxmlformats.org/officeDocument/2006/docPropsVTypes"/>
</file>