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23-TA-2212: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Izglītības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atbilstoši paredzētajam regulējumam, jo anotācijā iztrūkst pamatojuma, kas paredzētu kompensācijas nepieciešamību gan sabiedriskajam, gan personīgajam transportam. Pretējā gadījumā anotācijā norādītā problēma nesakrīt ar piedāvāto risinājumu likumprojekta regulējumā, proti, anotācijas 1.sadaļā (problēmu apraksts) ir noteikts, ka "virkne izglītības iestāžu saskaras ar to, ka pedagogs nevar uzsākt darbu konkrētā izglītības iestādē, jo </w:t>
            </w:r>
            <w:r w:rsidR="00000000" w:rsidRPr="00000000" w:rsidDel="00000000">
              <w:rPr>
                <w:b w:val="1"/>
                <w:rtl w:val="0"/>
              </w:rPr>
              <w:t xml:space="preserve">nav sabiedriskā transporta, lai no dzīves vietas nokļūtu darbā un atpakaļ, vai sabiedriskā transporta pieejamība ir nepietiekoša</w:t>
            </w:r>
            <w:r w:rsidR="00000000" w:rsidRPr="00000000" w:rsidDel="00000000">
              <w:rPr>
                <w:rtl w:val="0"/>
              </w:rPr>
              <w:t xml:space="preserve">. Tātad, piedāvātais risinājums dos iespēju izglītības iestāžu dibinātājiem, tostarp pašvaldībām, izvērtējot savas iespējas un pieejamos finanšu resursus, izstrādāt kārtību [….] transporta izdevumu kompensācijai […]." Ņemot vērā norādīto problēmu, būtu nepieciešams risinājums sabiedriskā vai cita transporta nodrošināšanai, ko likumprojekts neparedz, kā arī anotācijā nav skaidrots pamatojums plānotajam regulējumam par kompensāciju par personīgā transporta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anotācijā precizēt arī potenciāli kompensējamā sabiedriskā transporta tvērumu, ievērojot Sabiedriskā transporta pakalpojumu likumā noteikto, saskaņā ar ko sabiedriskā transporta pakalpojumu sniegšanā iesaistītie transportlīdzekļi var būt autobuss (reģionālas un vietējas nozīmes), tramvajs, trolejbuss, vilciens, M1 kategorijas transportlīdzeklis (vieglie automobiļi). Nepieciešamības gadījumā aicinām konsultēties ar Satiksmes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Zvilna - Karlsone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anotācijas 3. sadaļu papildināt ar informāciju, kādu ietekmi uz pašvaldību budžetiem radīs likumprojekta īstenošana pašvaldībām, proti, provizoriski identificēt likumprojekta realizēšanai paredzēto kompensācijās novirzāmo pašvaldības budžeta līdzekļa apjomu. Tā kā likumprojekts attiecas uz kompensācijām, nav korekti norādīt, ka likumprojekts neskar pašvaldību budžetus, turklāt, ja likumprojekta autors ir identificējis, ka transporta izdevumi būtiski ietekmē pedagogu izvēli par labu konkrētām izglītības iestādēm dēļ to atrašanās vietas, tad būtu iespējams identificēt arī transporta izdevumu kompensācijām nepieciešamo līdzekļu apmēru (kaut vai tikai ar atsevišķiem piemēriem).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Zvilna - Karlsone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23-TA-2212</w:t>
    </w:r>
    <w:r>
      <w:br/>
    </w:r>
    <w:r w:rsidR="00000000" w:rsidRPr="00000000" w:rsidDel="00000000">
      <w:rPr>
        <w:rtl w:val="0"/>
      </w:rPr>
      <w:t xml:space="preserve">Izdrukāts 10.11.2023. 14.40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23-TA-2212</w:t>
    </w:r>
    <w:r>
      <w:br/>
    </w:r>
    <w:r w:rsidR="00000000" w:rsidRPr="00000000" w:rsidDel="00000000">
      <w:rPr>
        <w:rtl w:val="0"/>
      </w:rPr>
      <w:t xml:space="preserve">Izdrukāts 10.11.2023. 14.40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Atzinumi_23-TA-2212.docx</dc:title>
</cp:coreProperties>
</file>

<file path=docProps/custom.xml><?xml version="1.0" encoding="utf-8"?>
<Properties xmlns="http://schemas.openxmlformats.org/officeDocument/2006/custom-properties" xmlns:vt="http://schemas.openxmlformats.org/officeDocument/2006/docPropsVTypes"/>
</file>