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konkretizēt anotācijas 5.4. apakšsadaļas 5.4.1. tabulas rīcības brīvības sadaļu, ņemot vērā, ka tajā skaidro, kā ir izmantota Eiropas Savienības tiesību aktā paredzētā rīcības brīvība dalībvalstij pārņemt vai ieviest noteiktas tiesību akta normas? Kādēļ? Proti, skaidrojot rīcības brīvību izmantošanu, jānodrošina izpratne arī par to "kādēļ?" izvēlēts tieši šāds risinājums un ne cits. Tāpat arī Eiropas Parlamenta un Padomes 2022. gada 19. oktobra Direktīvas 2022/2041 par adekvātām minimālajām algām Eiropas Savienībā 10. pantā noteikts, ka "</w:t>
            </w:r>
            <w:r w:rsidR="00000000" w:rsidRPr="00000000" w:rsidDel="00000000">
              <w:rPr>
                <w:i w:val="1"/>
                <w:rtl w:val="0"/>
              </w:rPr>
              <w:t xml:space="preserve">Dalībvalstis </w:t>
            </w:r>
            <w:r w:rsidR="00000000" w:rsidRPr="00000000" w:rsidDel="00000000">
              <w:rPr>
                <w:i w:val="1"/>
                <w:u w:val="single"/>
                <w:rtl w:val="0"/>
              </w:rPr>
              <w:t xml:space="preserve">var</w:t>
            </w:r>
            <w:r w:rsidR="00000000" w:rsidRPr="00000000" w:rsidDel="00000000">
              <w:rPr>
                <w:i w:val="1"/>
                <w:rtl w:val="0"/>
              </w:rPr>
              <w:t xml:space="preserve"> nesniegt statistiku un informāciju, kas nav pieejama pirms 2024. gada 15. novembra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28.10.2024.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28.10.2024.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