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22-TA-2427: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6. aprīļa noteikumos Nr. 343 "Noteikumi par lielgabarīta un smagsvara pārvadājumiem"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Par pavadošo transportlīdzekli var izmantot Valsts policijas transportlīdzekli vai vieglo automobili, kas ir aprīkots ar: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43.punkta ievaddaļu, lai būtu viennozīmīgi skaidrs, ka 43.1. - 43.7. apakšpunktā noteiktās prasības attiecas tikai uz vieglo automobili, bet neattiecas uz Valsts policijas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ka Valsts policijas rīcībā ir dažādi transportlīdzekļi (vieglie automobiļi, motocikli u.c., kuriem ir vai nav piešķirts operatīvo transportlīdzekļu statuss, kuriem ir vai nav speciālais krāsojums) ierosinām vārdus "Valsts policijas transportlīdzekli" aizstāt ar vārdiem "Valsts policijas operatīvo transportlīdzekli ar stacionāri uzstādītām zilām un sarkanām bākugunīm, speciālām skaņas iekārtām un speciālu krāsojumu".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Par pavadošo transportlīdzekli var izmantot Valsts policijas operatīvo transportlīdzekli ar stacionāri uzstādītām zilām un sarkanām bākugunīm, speciālām skaņas iekārtām un speciālu krāsojumu vai vieglo automobili. Vieglo automobili aprīko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Ronalds Petrovskis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 lauku "Risinājuma apraksts", skaidrojot sagatavotos grozījumus tiesību aktā.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Ronalds Petrovskis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attiecas uz pārvadājumiem (pārvietošanos pa ceļiem), kuros ar kravu vai pasažieriem vai bez kravas vai pasažieriem pa ceļu (autoceļu vai ielu) braucoša mehāniskā transportlīdzekļa vai tā sastāva izmēri vai faktiskā masa vai ass slodze pārsniedz (vismaz viens parametrs) </w:t>
            </w:r>
            <w:r w:rsidR="00000000" w:rsidRPr="00000000" w:rsidDel="00000000">
              <w:rPr>
                <w:rtl w:val="0"/>
              </w:rPr>
              <w:t xml:space="preserve">Ministru kabineta 2015. gada 2. jūnija noteikumu Nr. 279 "Ceļu satiksmes noteikumi"</w:t>
            </w:r>
            <w:r w:rsidR="00000000" w:rsidRPr="00000000" w:rsidDel="00000000">
              <w:rPr>
                <w:rtl w:val="0"/>
              </w:rPr>
              <w:t xml:space="preserve"> (turpmāk – Ceļu satiksmes noteikumi) 2. pielikumā minētos lielumus (turpmāk - pārvadājumi).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nepieciešamību precizēt projekta 2.punktu, lai nodrošinātu tā atbilstību Ministru kabineta 2015. gada 2. jūnija noteikumu Nr. 279 "Ceļu satiksmes noteikumi" 194.punktam - </w:t>
            </w:r>
            <w:r w:rsidR="00000000" w:rsidRPr="00000000" w:rsidDel="00000000">
              <w:rPr>
                <w:i w:val="1"/>
                <w:rtl w:val="0"/>
              </w:rPr>
              <w:t xml:space="preserve">ja kravas automobiļu, kuru pilna masa pārsniedz 3,5 t, autobusu un to piekabju, kā arī transportlīdzekļu sastāvu </w:t>
            </w:r>
            <w:r w:rsidR="00000000" w:rsidRPr="00000000" w:rsidDel="00000000">
              <w:rPr>
                <w:i w:val="1"/>
                <w:u w:val="single"/>
                <w:rtl w:val="0"/>
              </w:rPr>
              <w:t xml:space="preserve">gabarīti </w:t>
            </w:r>
            <w:r w:rsidR="00000000" w:rsidRPr="00000000" w:rsidDel="00000000">
              <w:rPr>
                <w:i w:val="1"/>
                <w:rtl w:val="0"/>
              </w:rPr>
              <w:t xml:space="preserve">ar kravu vai bez tās, ar noņemamo aprīkojumu (piemēram, iekrāvēju) vai bez tā, faktiskā masa vai ass slodze pārsniedz šo noteikumu 2. pielikumā minētos</w:t>
            </w:r>
            <w:r w:rsidR="00000000" w:rsidRPr="00000000" w:rsidDel="00000000">
              <w:rPr>
                <w:i w:val="1"/>
                <w:u w:val="single"/>
                <w:rtl w:val="0"/>
              </w:rPr>
              <w:t xml:space="preserve"> lielumus</w:t>
            </w:r>
            <w:r w:rsidR="00000000" w:rsidRPr="00000000" w:rsidDel="00000000">
              <w:rPr>
                <w:i w:val="1"/>
                <w:rtl w:val="0"/>
              </w:rPr>
              <w:t xml:space="preserve">, atļauja braukšanai pa ceļiem jāsaņem normatīvajos aktos par lielgabarīta un smagsvara pārvadā­jumiem noteiktajā kārtībā, </w:t>
            </w:r>
            <w:r w:rsidR="00000000" w:rsidRPr="00000000" w:rsidDel="00000000">
              <w:rPr>
                <w:rtl w:val="0"/>
              </w:rPr>
              <w:t xml:space="preserve">proti, 194. punktā ir lietoti termini "gabarīti" un "lielumi", nevis termins "izmēri". Vienlaikus vēršam uzmanību, ka arī termins "parametrs", kas plaši lietots projektā, netiek lietots Ceļu satiksmes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Ronalds Petrovskis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Atļauja nav nepieciešama mehāniskā transportlīdzekļa vilkšanai uz stāvvietu vai remonta vietu, ja tam ir radušies bojājumi, kuru dēļ tas nedrīkst braukt.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6.punktu, lai nodrošinātu atbilstību Ministru kabineta 2015. gada 2. jūnija noteikumu Nr. 279 "Ceļu satiksmes noteikumi" 222.punktam, proti, 222.punktā noteikts ar kādiem bojājumiem ar transportlīdzekli </w:t>
            </w:r>
            <w:r w:rsidR="00000000" w:rsidRPr="00000000" w:rsidDel="00000000">
              <w:rPr>
                <w:u w:val="single"/>
                <w:rtl w:val="0"/>
              </w:rPr>
              <w:t xml:space="preserve">aizliegts</w:t>
            </w:r>
            <w:r w:rsidR="00000000" w:rsidRPr="00000000" w:rsidDel="00000000">
              <w:rPr>
                <w:rtl w:val="0"/>
              </w:rPr>
              <w:t xml:space="preserve"> braukt.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Ronalds Petrovskis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3</w:t>
            </w:r>
            <w:r w:rsidR="00000000" w:rsidRPr="00000000" w:rsidDel="00000000">
              <w:rPr>
                <w:rtl w:val="0"/>
              </w:rPr>
              <w:t xml:space="preserve"> Transportlīdzekļa, kas neved kravu vai nav paredzēts kravas pārvadāšanai, bet izmēri, faktiskā masa vai ass slodze neatbilst Ceļu satiksmes noteikumiem, brauciens, ir brauciens bez kravas.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vai projekta 6.</w:t>
            </w:r>
            <w:r w:rsidR="00000000" w:rsidRPr="00000000" w:rsidDel="00000000">
              <w:rPr>
                <w:vertAlign w:val="superscript"/>
                <w:rtl w:val="0"/>
              </w:rPr>
              <w:t xml:space="preserve">3 </w:t>
            </w:r>
            <w:r w:rsidR="00000000" w:rsidRPr="00000000" w:rsidDel="00000000">
              <w:rPr>
                <w:rtl w:val="0"/>
              </w:rPr>
              <w:t xml:space="preserve">punkts un 6.</w:t>
            </w:r>
            <w:r w:rsidR="00000000" w:rsidRPr="00000000" w:rsidDel="00000000">
              <w:rPr>
                <w:vertAlign w:val="superscript"/>
                <w:rtl w:val="0"/>
              </w:rPr>
              <w:t xml:space="preserve">4</w:t>
            </w:r>
            <w:r w:rsidR="00000000" w:rsidRPr="00000000" w:rsidDel="00000000">
              <w:rPr>
                <w:rtl w:val="0"/>
              </w:rPr>
              <w:t xml:space="preserve"> punkta ievaddaļa nav pretrunā ar projekta 2.punktu, proti, projekta 2.punktā paredzēts, ka </w:t>
            </w:r>
            <w:r w:rsidR="00000000" w:rsidRPr="00000000" w:rsidDel="00000000">
              <w:rPr>
                <w:i w:val="1"/>
                <w:rtl w:val="0"/>
              </w:rPr>
              <w:t xml:space="preserve">Noteikumi attiecas uz </w:t>
            </w:r>
            <w:r w:rsidR="00000000" w:rsidRPr="00000000" w:rsidDel="00000000">
              <w:rPr>
                <w:i w:val="1"/>
                <w:u w:val="single"/>
                <w:rtl w:val="0"/>
              </w:rPr>
              <w:t xml:space="preserve">pārvadājumiem (pārvietošanos pa ceļiem)</w:t>
            </w:r>
            <w:r w:rsidR="00000000" w:rsidRPr="00000000" w:rsidDel="00000000">
              <w:rPr>
                <w:i w:val="1"/>
                <w:rtl w:val="0"/>
              </w:rPr>
              <w:t xml:space="preserve">, kuros ar kravu vai pasažieriem vai bez kravas vai pasažieriem pa ceļu (autoceļu vai ielu) braucoša mehāniskā transportlīdzekļa vai tā sastāva izmēri vai faktiskā masa vai ass slodze pārsniedz (vismaz viens parametrs) Ministru kabineta 2015. gada 2. jūnija noteikumu Nr. 279 "Ceļu satiksmes noteikumi" (turpmāk – Ceļu satiksmes noteikumi) 2. pielikumā minētos lielumus (</w:t>
            </w:r>
            <w:r w:rsidR="00000000" w:rsidRPr="00000000" w:rsidDel="00000000">
              <w:rPr>
                <w:i w:val="1"/>
                <w:u w:val="single"/>
                <w:rtl w:val="0"/>
              </w:rPr>
              <w:t xml:space="preserve">turpmāk - pārvadājumi</w:t>
            </w:r>
            <w:r w:rsidR="00000000" w:rsidRPr="00000000" w:rsidDel="00000000">
              <w:rPr>
                <w:i w:val="1"/>
                <w:rtl w:val="0"/>
              </w:rPr>
              <w:t xml:space="preserve">). </w:t>
            </w:r>
            <w:r w:rsidR="00000000" w:rsidRPr="00000000" w:rsidDel="00000000">
              <w:rPr>
                <w:rtl w:val="0"/>
              </w:rPr>
              <w:t xml:space="preserve">No minētā secināms, ka mehāniskā transportlīdzekļa braukšana bez kravas arī ir pārvadājums. Savukārt Projekta 6.3 punktā paredzēts, ka šāda transportlīdzekļa braukšana ir "brauciens". Turklāt projekta 2.punktā lietots termins "pārvietošanās pa ceļiem", nevis termins "brauciens".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Ronalds Petrovskis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6</w:t>
            </w:r>
            <w:r w:rsidR="00000000" w:rsidRPr="00000000" w:rsidDel="00000000">
              <w:rPr>
                <w:rtl w:val="0"/>
              </w:rPr>
              <w:t xml:space="preserve"> Šo noteikumu </w:t>
            </w:r>
            <w:r w:rsidR="00000000" w:rsidRPr="00000000" w:rsidDel="00000000">
              <w:rPr>
                <w:rtl w:val="0"/>
              </w:rPr>
              <w:t xml:space="preserve">37. </w:t>
            </w:r>
            <w:r w:rsidR="00000000" w:rsidRPr="00000000" w:rsidDel="00000000">
              <w:rPr>
                <w:rtl w:val="0"/>
              </w:rPr>
              <w:t xml:space="preserve">punktā</w:t>
            </w:r>
            <w:r w:rsidR="00000000" w:rsidRPr="00000000" w:rsidDel="00000000">
              <w:rPr>
                <w:rtl w:val="0"/>
              </w:rPr>
              <w:t xml:space="preserve"> paredzētajiem pārvadājumiem atļauju uz noteiktu termiņu var izsniegt tikai pa valsts galvenajiem autoceļiem un to maršrutos ietilpstošajām tranzīta ielām.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nepieciešamību redakcionāli precizēt projekta 38.6 punktu, jo šobrīd minētā norma ir neskaidra. Piemēram - vārds "to" attiecas uz vārdiem "galvenajiem autoceļiem" vai vārdu "pārvadājumiem".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Ronalds Petrovskis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1</w:t>
            </w:r>
            <w:r w:rsidR="00000000" w:rsidRPr="00000000" w:rsidDel="00000000">
              <w:rPr>
                <w:rtl w:val="0"/>
              </w:rPr>
              <w:t xml:space="preserve"> Ja lielgabarīta vai smagsvara transportlīdzekļa (izņemot lauksaimniecības tehniku, kas veic īslaicīgus pārbraucienus) platums ir 3,5–4,0 m un garums nepārsniedz 30 m, pārvadājumu veikšanai izmantoto pavadošo transportlīdzekli var neaprīkot ar šo noteikumu </w:t>
            </w:r>
            <w:r w:rsidR="00000000" w:rsidRPr="00000000" w:rsidDel="00000000">
              <w:rPr>
                <w:rtl w:val="0"/>
              </w:rPr>
              <w:t xml:space="preserve">43.3.</w:t>
            </w:r>
            <w:r w:rsidR="00000000" w:rsidRPr="00000000" w:rsidDel="00000000">
              <w:rPr>
                <w:rtl w:val="0"/>
              </w:rPr>
              <w:t xml:space="preserve"> apakšpunktā minēto stacionāro uz pavadošā transportlīdzekļa jumta montēto maināmo signālu iekārtu.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nepieciešamību precizēt Noteikumu 43.</w:t>
            </w:r>
            <w:r w:rsidR="00000000" w:rsidRPr="00000000" w:rsidDel="00000000">
              <w:rPr>
                <w:vertAlign w:val="superscript"/>
                <w:rtl w:val="0"/>
              </w:rPr>
              <w:t xml:space="preserve">1</w:t>
            </w:r>
            <w:r w:rsidR="00000000" w:rsidRPr="00000000" w:rsidDel="00000000">
              <w:rPr>
                <w:rtl w:val="0"/>
              </w:rPr>
              <w:t xml:space="preserve"> punktu, ņemot vērā, ka visā projektā konsekventi svītrots termins "lauksaimniecības tehnika", daļēji aizstājot ar terminu "traktortehnika".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Ronalds Petrovskis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Traktortehniku aprīko ar oranžu (dzeltenu) bākuguni. Ja lielgabarīta lauksaimniecības tehnikas platums ir lielāks par 4 m, diennakts tumšajā laikā vai nepietiekamas redzamības apstākļos par pavadošo transportlīdzekli izmanto vieglo automobili, kas ir aprīkots ar oranžu (dzeltenu) bākuguni, kuras izvietojums nodrošina tās redzamību 360° leņķī.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nepieciešamību precizēt Projekta 44. punktu, ņemot vērā, ka visā projektā konsekventi svītrots termins "lauksaimniecības tehnika", daļēji aizstājot ar terminu "traktortehnika".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Ronalds Petrovskis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22-TA-2427</w:t>
    </w:r>
    <w:r>
      <w:br/>
    </w:r>
    <w:r w:rsidR="00000000" w:rsidRPr="00000000" w:rsidDel="00000000">
      <w:rPr>
        <w:rtl w:val="0"/>
      </w:rPr>
      <w:t xml:space="preserve">Izdrukāts 20.12.2022. 15.54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22-TA-2427</w:t>
    </w:r>
    <w:r>
      <w:br/>
    </w:r>
    <w:r w:rsidR="00000000" w:rsidRPr="00000000" w:rsidDel="00000000">
      <w:rPr>
        <w:rtl w:val="0"/>
      </w:rPr>
      <w:t xml:space="preserve">Izdrukāts 20.12.2022. 15.54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Atzinumi_22-TA-2427.docx</dc:title>
</cp:coreProperties>
</file>

<file path=docProps/custom.xml><?xml version="1.0" encoding="utf-8"?>
<Properties xmlns="http://schemas.openxmlformats.org/officeDocument/2006/custom-properties" xmlns:vt="http://schemas.openxmlformats.org/officeDocument/2006/docPropsVTypes"/>
</file>