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konkrēti norādīt, vai sabiedrības līdzdalības rezultātā iesniegtie priekšlikumi ir ņemti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Darba devējam ir tiesības mēneša laikā no lēmuma atļaut ārzemnieka piesaisti pieņemšanas dienas iesniegt pārvaldē ielūgumu vīzas pieprasīšanai vai izsaukumu uzturēšanās atļaujas pieprasīšanai. Ja tiek izbeigtas darba tiesiskās attiecības ar iepriekš nodarbinātu ārzemnieku, darba devējs cita ārzemnieka var vērsties pārvaldē, lai apstiprinātu ielūgumu vīzas pieprasīšanai vai izsaukumu uzturēšanās atļaujas pieprasīšanai, nepiesakot aģentūrā no jauna brīvu darba vietu, 12 mēnešu laikā no aģentūras lēmuma atļaut ārzemnieka piesaisti pieņemšanas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punktu, ievietojot atbilstošu darbības vārdu aiz vārdiem "darba devējs cita ārzemnieka" (piemēram, vārdu "piesaistīšanai").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05.09.2024.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05.09.2024.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Atzinumi_23-TA-1584.docx</dc:title>
</cp:coreProperties>
</file>

<file path=docProps/custom.xml><?xml version="1.0" encoding="utf-8"?>
<Properties xmlns="http://schemas.openxmlformats.org/officeDocument/2006/custom-properties" xmlns:vt="http://schemas.openxmlformats.org/officeDocument/2006/docPropsVTypes"/>
</file>