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 sadaļu, norādot korektu periodu, kad tiks veiktas visaptverošas diskusijas ar sociālajiem un sadarbības partneriem par sagatavoto investīciju optimizēšanas priekšlikumu. Aktuālā informatīvā ziņojuma redakcija paredz, ka "2024. gada aprīlī plāno sarunas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Sējēja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