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otrās kārtas īstenošanas ietvaros sasniedzami šādi mērķrādītāji: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7.punkta apakšpunktus, jo no to pašreizējās redakcijas nav saprotams, kādos termiņos un kādi rādītāji sasniedzami. Norādām, piemēram, ka nav saprotams, vai 7.1. apakšpunktā norādītie rādītāji ir kumulatīvi (t.i., kāds ir kopējais līdz 2023. gada 31. decembrim noslēdzamo līgumu skaits). Savukārt no 7.2. apakšpunkta nav saprotams, līdz kuram datumam jānodrošina jaunas vietas 852 senioriem.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Eiropas Parlamenta un Padomes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minētajiem izslēgšanas kritērijiem (turpmāk – izslēgšanas kritēriji), ja projekta iesniedzējs ir pašvaldības kapitālsabiedrība. Ja konstatē, ka uz pašvaldības kapitālsabiedrību ir attiecināms kaut viens no izslēgšanas kritērijiem, turpmāko projekta iesnieguma vērtēšanu neveic;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sakaidrot, kāpēc regulas Nr. 966/2012 136. pantā minētie izslēgšanas kritēriji tiek attiecināti tikai uz tiem projekta iesniedzējiem, kas ir ir pašvaldības kapitālsabiedrības.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20.05.2023. 12.20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20.05.2023. 12.20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Atzinumi_22-TA-3345.docx</dc:title>
</cp:coreProperties>
</file>

<file path=docProps/custom.xml><?xml version="1.0" encoding="utf-8"?>
<Properties xmlns="http://schemas.openxmlformats.org/officeDocument/2006/custom-properties" xmlns:vt="http://schemas.openxmlformats.org/officeDocument/2006/docPropsVTypes"/>
</file>