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Civilās aviācijas aģentūra izvērtē un apstiprina vai noraida šo noteikumu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minētos ziņojumus un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1.3. apakšpunktu atbilstoši likuma "Par piesārņojumu" 32.</w:t>
            </w:r>
            <w:r w:rsidR="00000000" w:rsidRPr="00000000" w:rsidDel="00000000">
              <w:rPr>
                <w:vertAlign w:val="superscript"/>
                <w:rtl w:val="0"/>
              </w:rPr>
              <w:t xml:space="preserve">21</w:t>
            </w:r>
            <w:r w:rsidR="00000000" w:rsidRPr="00000000" w:rsidDel="00000000">
              <w:rPr>
                <w:rtl w:val="0"/>
              </w:rPr>
              <w:t xml:space="preserve"> panta desmitās daļas 5. punktā  norādītajam pilnvarojumam noteikt kārtību, kādā Civilās aviācijas aģentūra </w:t>
            </w:r>
            <w:r w:rsidR="00000000" w:rsidRPr="00000000" w:rsidDel="00000000">
              <w:rPr>
                <w:u w:val="single"/>
                <w:rtl w:val="0"/>
              </w:rPr>
              <w:t xml:space="preserve">pārbauda un apstiprina</w:t>
            </w:r>
            <w:r w:rsidR="00000000" w:rsidRPr="00000000" w:rsidDel="00000000">
              <w:rPr>
                <w:rtl w:val="0"/>
              </w:rPr>
              <w:t xml:space="preserve"> 1.1. un 1.2. apakšpunktā minētos ziņojumus un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Civilās aviācijas aģentūra pārbauda un apstiprina šo noteikumu 1.1. un 1.2. apakšpunktā minētos ziņojumus un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saskaņā ar likuma “Par piesārņojumu” 32.</w:t>
            </w:r>
            <w:r w:rsidR="00000000" w:rsidRPr="00000000" w:rsidDel="00000000">
              <w:rPr>
                <w:vertAlign w:val="superscript"/>
                <w:rtl w:val="0"/>
              </w:rPr>
              <w:t xml:space="preserve">21</w:t>
            </w:r>
            <w:r w:rsidR="00000000" w:rsidRPr="00000000" w:rsidDel="00000000">
              <w:rPr>
                <w:rtl w:val="0"/>
              </w:rPr>
              <w:t xml:space="preserve"> panta sestās daļas 2. punktu sagatavo informāciju par to finanšu līdzekļu izlietojumu, kurus gaisa kuģa operators attiecīgajā kalendāra gadā ir guvis, pārdodot tam piešķirtās bezmaksas emisijas kvotas. Sagatavojot minēto informāciju, norāda iegūto finanšu līdzekļu apjomu un norāda, kādiem normatīvajos aktos par piesārņojumu minētajiem pasākumiem šie finanšu līdzekļi ir tikuši izlietoti. Informācijas sagatavošanai gaisa kuģa operators izmanto Klimata un enerģētikas ministrijas izstrādāto finanšu līdzekļu izlietojuma veidlapu (Excel datnes formātā), kas izveidota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veidlapas saturam un ir pieejama Klimata un enerģētikas ministrijas un Civilās aviācijas aģentūras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3.2. apakšpunktā, 3.3. apakšpunktā un 34. punktā cita starpā noteikts, ka gaisa kuģa operators sagatavo monitoringa plānu un ikgadējo emisiju ziņojumu, izmantojot Civilās aviācijas aģentūras tīmekļa vietnē publicētās veidlapas. Skaidrojam, ka iestādes tīmekļa vietnē iekļautas veidlapas nav saistošas norādītajiem subjektiem. Tās par saistošām nevar padarīt arī ar noteikumu projektu, proti, noteikumu projekts nevar noteikt pienākumu izmantot veidlapas (veidlapu formas), kas publicētas tīmekļvietnē. Ņemot vērā minēto, aicinām precizēt noteikuma projektu, piemēram, paredzot šo formu izmantošanu kā neobligātu.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Civilās aviācijas aģentūra izvērtē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iesniegto monitoringa plānu atbilstību Regulas Nr. 2018/2066 II un IV nodaļā un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minētajiem nosacījumiem un mēneša laikā pieņem lēmumu par monitoringa plāna apstiprināšanu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noteikuma projekta 10. punktu papildināt ar norādi uz atskaites punktu mēneša termiņa aprēķināšanai, tādējādi nodrošinot nepārprotamu attiecīgās normas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Gaisa kuģa operators katru gadu līdz 15. martam iesniedz Civilās aviācijas aģentūrā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noteikuma projekta 18. punkts pirmšķietami dublē likumu “Par piesārņojumu” 32.</w:t>
            </w:r>
            <w:r w:rsidR="00000000" w:rsidRPr="00000000" w:rsidDel="00000000">
              <w:rPr>
                <w:vertAlign w:val="superscript"/>
                <w:rtl w:val="0"/>
              </w:rPr>
              <w:t xml:space="preserve">21 </w:t>
            </w:r>
            <w:r w:rsidR="00000000" w:rsidRPr="00000000" w:rsidDel="00000000">
              <w:rPr>
                <w:rtl w:val="0"/>
              </w:rPr>
              <w:t xml:space="preserve">panta astoto daļu, tādēļ lūdzam izvērtēt un precizēt minēto punktu, kā arī aicinām pārskatīt noteikumu projektu un nepieciešamības gadījumā nodrošināt, ka netiek dublētas arī citas minētā likuma vienības. Skaidrojam, ka saskaņā ar Ministru kabineta 2009. gada 3. februāra noteikumu Nr. 108 "Normatīvo aktu projektu sagatavošanas noteikumi" (turpmāk - noteikumi Nr. 108) 3.2. apakšpunktu noteikumu projektā nevar ietvert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ikgadējais emisiju ziņojums, ko gaisa kuģa operators iesniedzis saskaņā ar šo noteikumu </w:t>
            </w:r>
            <w:r w:rsidR="00000000" w:rsidRPr="00000000" w:rsidDel="00000000">
              <w:rPr>
                <w:rtl w:val="0"/>
              </w:rPr>
              <w:t xml:space="preserve">18. </w:t>
            </w:r>
            <w:r w:rsidR="00000000" w:rsidRPr="00000000" w:rsidDel="00000000">
              <w:rPr>
                <w:rtl w:val="0"/>
              </w:rPr>
              <w:t xml:space="preserve">punktu</w:t>
            </w:r>
            <w:r w:rsidR="00000000" w:rsidRPr="00000000" w:rsidDel="00000000">
              <w:rPr>
                <w:rtl w:val="0"/>
              </w:rPr>
              <w:t xml:space="preserve">, līdz 31.martam nav apstiprināts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noteikuma projekta 20., 21. punkta, VIII nodaļas un IX nodaļas atbilstību norādē par noteikumu projekta izdošanas pamatu minētajam likuma “Par piesārņojumu” deleģējumam (pilnvarojumam), norādot arī attiecīgi konkrēto pilnvarojumu, kam atbilst minētais regulējums. Tostarp, bet ne tikai, vēršam uzmanību, ka, piemēram, minētā likuma 32.</w:t>
            </w:r>
            <w:r w:rsidR="00000000" w:rsidRPr="00000000" w:rsidDel="00000000">
              <w:rPr>
                <w:vertAlign w:val="superscript"/>
                <w:rtl w:val="0"/>
              </w:rPr>
              <w:t xml:space="preserve">21 </w:t>
            </w:r>
            <w:r w:rsidR="00000000" w:rsidRPr="00000000" w:rsidDel="00000000">
              <w:rPr>
                <w:rtl w:val="0"/>
              </w:rPr>
              <w:t xml:space="preserve">panta ceturtā daļa paredz konkrētas sekas, ja  gaisa kuģa operatora sagatavotais siltumnīcefekta gāzu emisiju monitoringa plāns nav apstiprināts, proti, tas nedrīkst uzsākt vai turpināt Eiropas Savienības emisijas kvotu tirdzniecības sistēmas darbības, attiecīgi nepieciešams anotācijā pamatot, ka Ministru kabinets var detalizēt un noteikt, ka tiek bloķēts gaisa kuģa operatora konts emisiju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Civilās aviācijas aģentūra tā paša gada 1.aprīlī vai nākamajā darbdienā pēc tā paša gada 1.aprīļa par attiecīgo gaisa kuģa operatoru informē valsts sabiedrību ar ierobežotu atbildību "Latvijas Vides, ģeoloģijas un meteoroloģijas centrs", kas saskaņā ar likuma "Par piesārņojumu" 32.</w:t>
            </w:r>
            <w:r w:rsidR="00000000" w:rsidRPr="00000000" w:rsidDel="00000000">
              <w:rPr>
                <w:vertAlign w:val="superscript"/>
                <w:rtl w:val="0"/>
              </w:rPr>
              <w:t xml:space="preserve">4</w:t>
            </w:r>
            <w:r w:rsidR="00000000" w:rsidRPr="00000000" w:rsidDel="00000000">
              <w:rPr>
                <w:rtl w:val="0"/>
              </w:rPr>
              <w:t xml:space="preserve"> panta trešo daļu ir emisiju reģistra valsts administrators (turpmāk – valsts administrators);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noteikuma projekta 20.1. apakšpunktā iekļauto atsauci uz likuma "Par piesārņojumu" 32.</w:t>
            </w:r>
            <w:r w:rsidR="00000000" w:rsidRPr="00000000" w:rsidDel="00000000">
              <w:rPr>
                <w:vertAlign w:val="superscript"/>
                <w:rtl w:val="0"/>
              </w:rPr>
              <w:t xml:space="preserve">4</w:t>
            </w:r>
            <w:r w:rsidR="00000000" w:rsidRPr="00000000" w:rsidDel="00000000">
              <w:rPr>
                <w:rtl w:val="0"/>
              </w:rPr>
              <w:t xml:space="preserve"> panta trešo daļu. Norādām, ka likuma "Par piesārņojumu" 32.</w:t>
            </w:r>
            <w:r w:rsidR="00000000" w:rsidRPr="00000000" w:rsidDel="00000000">
              <w:rPr>
                <w:vertAlign w:val="superscript"/>
                <w:rtl w:val="0"/>
              </w:rPr>
              <w:t xml:space="preserve">4</w:t>
            </w:r>
            <w:r w:rsidR="00000000" w:rsidRPr="00000000" w:rsidDel="00000000">
              <w:rPr>
                <w:rtl w:val="0"/>
              </w:rPr>
              <w:t xml:space="preserve"> panta trešā daļa tika izslēgta ar 2025. gada 9. oktobra grozījumiem likumā "Par piesārņojumu", kas stājās spēkā 2025. gada 18.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verificētājs pārzina Regulas Nr. 2018/2067 ietvaros Eiropas Komisijas izstrādātos vadlīniju dokumentus, kas pieejami Latvijas Nacionālā akreditācijas biroja tīmekļa vietnē (www.latak.lv), kā arī Regulas Nr. 2018/2066 ietvaros izstrādātās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108 131. punktu, aicinām svītrot vai precizēt atsauces uz vadlīnijām un vadlīniju dokumentiem, tādējādi iespēju robežās nedublējot arī Komisijas 2018. gada 19. decembra Īstenošanas Regulas (ES) 2018/2067 par datu verifikāciju un verificētāju akreditāciju saskaņā ar Eiropas Parlamenta un Padomes Direktīvu 2003/87/EK (turpmāk - Regula 2018/2067), 38. pantā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nav skaidrs, kādām tieši regulas ietvaros izstrādātajām vadlīnijām verificētājam ir jāatbilst, ko aicinām noteikumu projekta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Ikgadējais emisiju ziņojums ir uzskatāms par verificētu, ja mazais emitētājs, kura kopējais radītais siltumnīcefekta gāzu emisiju apjoms iepriekšējā kalendāra gadā veiktajos lidojumos nepārsniedz 25 000 tonnu CO</w:t>
            </w:r>
            <w:r w:rsidR="00000000" w:rsidRPr="00000000" w:rsidDel="00000000">
              <w:rPr>
                <w:vertAlign w:val="subscript"/>
                <w:rtl w:val="0"/>
              </w:rPr>
              <w:t xml:space="preserve">2</w:t>
            </w:r>
            <w:r w:rsidR="00000000" w:rsidRPr="00000000" w:rsidDel="00000000">
              <w:rPr>
                <w:rtl w:val="0"/>
              </w:rPr>
              <w:t xml:space="preserve"> vai kura radītais siltumnīcefekta gāzu emisiju apjoms iepriekšējā kalendāra gadā nepārsniedz 3 000 tonnu CO</w:t>
            </w:r>
            <w:r w:rsidR="00000000" w:rsidRPr="00000000" w:rsidDel="00000000">
              <w:rPr>
                <w:vertAlign w:val="subscript"/>
                <w:rtl w:val="0"/>
              </w:rPr>
              <w:t xml:space="preserve">2</w:t>
            </w:r>
            <w:r w:rsidR="00000000" w:rsidRPr="00000000" w:rsidDel="00000000">
              <w:rPr>
                <w:rtl w:val="0"/>
              </w:rPr>
              <w:t xml:space="preserve"> lidojumos, kas nav Eiropas Parlamenta un Padomes 2017. gada 13. decembra Regulas (ES) 2017/2392, ar ko groza Direktīvu 2003/87/EK, lai saglabātu pašreizējos darbības jomas ierobežojumus attiecībā uz aviācijas darbībām un sagatavotos globāla tirgus pasākuma īstenošanai no 2021. gada, 1. panta 6. punkta "b" apakšpunkta "i" ievilkumā minētie lidojumi, iepriekšējā kalendāra gadā radīto siltumnīcefekta gāzu emisiju apjomu ir noteicis, izmantojot Komisijas 2010. gada 9. jūlija Regulas Nr. 606/2010, ar ko apstiprina Eiropas Aeronavigācijas drošības organizācijas (Eurocontrol) izstrādātu vienkāršotu instrumentu degvielas patēriņa aplēsēm konkrētiem gaisa kuģu ekspluatantiem, kas ir mazie emitētāji (turpmāk – Regula Nr. 606/2010) 1. pantā minēto rīku.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ietverta atsauce uz </w:t>
            </w:r>
            <w:r w:rsidR="00000000" w:rsidRPr="00000000" w:rsidDel="00000000">
              <w:rPr>
                <w:i w:val="1"/>
                <w:rtl w:val="0"/>
              </w:rPr>
              <w:t xml:space="preserve">Eiropas Parlamenta un Padomes 2017. gada 13. decembra Regulu (ES) 2017/2392, ar ko groza Direktīvu 2003/87/EK, lai saglabātu pašreizējos darbības jomas ierobežojumus attiecībā uz aviācijas darbībām un sagatavotos globāla tirgus pasākuma īstenošanai no 2021. gada</w:t>
            </w:r>
            <w:r w:rsidR="00000000" w:rsidRPr="00000000" w:rsidDel="00000000">
              <w:rPr>
                <w:rtl w:val="0"/>
              </w:rPr>
              <w:t xml:space="preserve"> (turpmāk – Regula 2017/2392). Saistībā ar minēto skaidrojam, ka gadījumos, kad ar regulām tiek grozītas direktīvu normas, svarīgi ņemt vērā, ka normas, kas skar direktīvas, ir jāpārņem nacionālajā tiesību sistēmā tādā pašā veidā, kā to dara direktīvu pārņemšanas gadījumos. Jo, neskatoties uz to, ka konkrētās direktīvas normu grozījumi ir ietverti regulā, atšķirībā no pašas regulas normām tie nav tieši piemērojami, proti, noteicošais ir grozāmais nevis grozošais tiesību akts. Direktīvas grozījumi kļūst saistoši tikai pēc tam, kad dalībvalstis transponē šo grozīto direktīvu savās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pārņemt noteikumu projekta 29. punktā ietverto ar Regulu 2017/2392 grozītās direktīvas normu, kā arī attiecīgi papildināt anotācijas 5.4. apakšsadaļu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39.1.1. ja, veicot uzraudzību, konstatē, ka verificētājs neievēro Regulas Nr. 2018/2067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39.1.1. un 39.1.2. apakšpunktā pirmšķietami dublēta Regulas Nr. 2018/2067 prasība, kas jau ieviesta noteikumu projekta 39.1.3. apakšpunktā, savukārt 39.2. apakšpunktā skaidrota minētās regulas 54. panta 5. punkta otrā daļa, tādēļ lūdzam izvērtēt un precizēt vai svītrot noteikumu projekta 39.1.1., 39.1.2. un 39.2.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Līguma par Eiropas Savienības darbību 288.panta otro daļu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Laikposmā no 2024. gada 1. janvāra līdz 2030. gada 31. decembrim ne vairāk kā 20 miljonus no emisijas kvotu daudzuma rezervē komerciālajiem gaisa kuģu operatoriem FEETS degvielu izmantošanai. Gadījumā, ja lidostā atbilstīgu aviācijas degvielu fiziski nevar attiecināt uz konkrētu lidojumu, saskaņā ar šo daļu rezervētās kvotas ir pieejamas par atbilstīgām aviācijas degvielām, kas uzpildītas minētajā lidostā, proporcionāli emisijām, kas rodas gaisa kuģa operatora lidojumos no minētās lidostas, par kuriem saskaņā ar likuma “Par piesārņojumu” 32.</w:t>
            </w:r>
            <w:r w:rsidR="00000000" w:rsidRPr="00000000" w:rsidDel="00000000">
              <w:rPr>
                <w:vertAlign w:val="superscript"/>
                <w:rtl w:val="0"/>
              </w:rPr>
              <w:t xml:space="preserve">27</w:t>
            </w:r>
            <w:r w:rsidR="00000000" w:rsidRPr="00000000" w:rsidDel="00000000">
              <w:rPr>
                <w:rtl w:val="0"/>
              </w:rPr>
              <w:t xml:space="preserve"> panta ceturto daļu kvotas ir jānodod.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Ievērojot minēto, lūdzam precizēt noteikumu projektu atbilstoši noteikumu Nr. 108 124. punkta prasībām, atšifrējot saīsinājumu FEETS.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Līdz 2030. gada 31. decembrim likuma "Par piesārņojumu" 32.</w:t>
            </w:r>
            <w:r w:rsidR="00000000" w:rsidRPr="00000000" w:rsidDel="00000000">
              <w:rPr>
                <w:vertAlign w:val="superscript"/>
                <w:rtl w:val="0"/>
              </w:rPr>
              <w:t xml:space="preserve">22</w:t>
            </w:r>
            <w:r w:rsidR="00000000" w:rsidRPr="00000000" w:rsidDel="00000000">
              <w:rPr>
                <w:rtl w:val="0"/>
              </w:rPr>
              <w:t xml:space="preserve"> panta, 32.</w:t>
            </w:r>
            <w:r w:rsidR="00000000" w:rsidRPr="00000000" w:rsidDel="00000000">
              <w:rPr>
                <w:vertAlign w:val="superscript"/>
                <w:rtl w:val="0"/>
              </w:rPr>
              <w:t xml:space="preserve">27</w:t>
            </w:r>
            <w:r w:rsidR="00000000" w:rsidRPr="00000000" w:rsidDel="00000000">
              <w:rPr>
                <w:rtl w:val="0"/>
              </w:rPr>
              <w:t xml:space="preserve"> panta ceturtās daļas un 32.</w:t>
            </w:r>
            <w:r w:rsidR="00000000" w:rsidRPr="00000000" w:rsidDel="00000000">
              <w:rPr>
                <w:vertAlign w:val="superscript"/>
                <w:rtl w:val="0"/>
              </w:rPr>
              <w:t xml:space="preserve">30</w:t>
            </w:r>
            <w:r w:rsidR="00000000" w:rsidRPr="00000000" w:rsidDel="00000000">
              <w:rPr>
                <w:rtl w:val="0"/>
              </w:rPr>
              <w:t xml:space="preserve"> panta prasības netiek piemērotas gaisa kuģa operatoru radītajām emisijām, kas radušās lidojumos starp dalībvalsts tālākā reģiona lidlauku un lidlauku tajā pašā dalībvalstī, tostarp citu lidlauku tajā pašā tālākajā reģionā vai citā tās pašas dalībvalsts tālākajā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noteikuma projekta 46. punktā, 52. punktā un 58. punktā paredzētajai likuma normu piemērošanas kārtībai vai precizēt (svītrot) minēto punktus. Proti, norādām, ka konkrētas likuma vienības piemērošanas kārtību (tostarp  izņēmumus no šo vienību piemērošanas) Ministru kabinets var noteikt (koriģēt) vienīgi gadījumos, ja to skaidri pieļauj likumā noteiktais pilnvarojums.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Gaisa kuģa operatoram nav pienākums nodot emisijas kvotas saskaņā ar likuma “Par piesārņojumu” 32.</w:t>
            </w:r>
            <w:r w:rsidR="00000000" w:rsidRPr="00000000" w:rsidDel="00000000">
              <w:rPr>
                <w:vertAlign w:val="superscript"/>
                <w:rtl w:val="0"/>
              </w:rPr>
              <w:t xml:space="preserve">27</w:t>
            </w:r>
            <w:r w:rsidR="00000000" w:rsidRPr="00000000" w:rsidDel="00000000">
              <w:rPr>
                <w:rtl w:val="0"/>
              </w:rPr>
              <w:t xml:space="preserve"> panta ceturto daļu attiecībā uz emisijām lidojumos no un uz valstīm, ko Apvienoto Nāciju Organizācija definējusi kā vismazāk attīstītās valstis un mazās salu jaunattīstības valstis, izņemot tās, kuras iekļautas CORSIA piemērojošo valstu sarakstā</w:t>
            </w:r>
            <w:r w:rsidR="00000000" w:rsidRPr="00000000" w:rsidDel="00000000">
              <w:rPr>
                <w:b w:val="1"/>
                <w:rtl w:val="0"/>
              </w:rPr>
              <w:t xml:space="preserve">,</w:t>
            </w:r>
            <w:r w:rsidR="00000000" w:rsidRPr="00000000" w:rsidDel="00000000">
              <w:rPr>
                <w:rtl w:val="0"/>
              </w:rPr>
              <w:t xml:space="preserve"> un tās valstis, kuru iekšzemes kopprodukts uz vienu iedzīvotāju ir vienāds ar vai lielāks par Eiropas Savienības vidējo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punkts ietver atsauci uz Apvienoto Nāciju Organizācija (turpmāk - ANO) vismazāk attīstīto valstu un mazo salu jaunattīstības valstu sarakstu, kā arī, CORSIA piemērojošo valstu sarakstu. Saistībā ar minēto lūdzam noteikumu projekta anotācijā skaidrot abu minēto sarakstu pieejamību un saistošo spēku.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CORSIA piemērojošo valstu saraksts tiek noteikts ar Komisijas Īstenošanas regulām, ierosinām papildināt noteikumu projektu ar atsauci uz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ANO valstu sarakstu ierosinām to nepieciešamības gadījumā pārņemt noteikumu projekta pielikumā vai paredzēt uzdevumu atbildīgajai ministrijai publicēt to oficiālajā izdevumā "Latvijas Vēstnesis" saskaņā ar Oficiālo publikācijas un tiesiskā informācijas likuma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gaisa kuģa operators atbilst mazo emitētāju kritērijiem, emisijas aprēķināšanai var izmantot mazo emitētāju rīku, kas apstiprināts ar Regulu Nr. 606/2010 un kuru Eiropas Aeronavigācijas drošības organizācija ir aizpildījusi ar datiem no sava ETS atbalsta mehānisma. Šīs emisijas tiek uzskatītas par verificētām. Eiropas Savienības dalībvalstis var nekomerciāliem gaisa kuģu operatoriem piemērot vienkāršotas procedūras, ja šādu procedūru precizitāte nav mazāka par mazo emitētāju rīka precizitāti.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57. punktā un 17. punktā svītrot normas, kas attiecas uz Eiropas Komisijas un visu dalībvalstu kompetenci, jo ar nacionālajiem normatīvajiem aktiem nevar noteikt Eiropas Savienības institūciju u.c. Eiropas Savienības dalībvalstu kompetenci. Papildus vēršam uzmanību, ka noteikumu projekta 57. punkta pēdējā teikumā faktiski pārrakstīta Eiropas Parlamenta un Padomes 2023. gada 10. maija Direktīvā (ES) 2023/958, ar ko Direktīvu 2003/87/EK groza attiecībā uz aviācijas devumu Savienības visas tautsaimniecības mēroga emisiju samazināšanas mērķrādītāja sasniegšanā un globālā tirgus pasākuma pienācīgu īstenošanu, ietvertā grozītās direktīvas 28.a panta 4. punktā paredzēta rīcības brīvība, ko lūdzam nepieciešamības gadījumā izmantot, noteikumu projektā paredzot konkrētas vienkāršotās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papildināt noteikumu projekta anotācijas 5.4. apakšsadaļu ar skaidrojumu par minētajā direktīvā ietvertās grozītās direktīvas 14. panta 5. punkta pirmajā un otrajā daļā ietverto prasību pārņemšanu noteikumu projektā, kā arī 28.a panta 4. punktā un 3.c panta 6. punkta ceturtajā daļā paredzētās rīcības brīvības izmantošanu vai neizmantošanu, tostarp attiecīgiem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punktā iekļauta atsauce uz </w:t>
            </w:r>
            <w:r w:rsidR="00000000" w:rsidRPr="00000000" w:rsidDel="00000000">
              <w:rPr>
                <w:i w:val="1"/>
                <w:rtl w:val="0"/>
              </w:rPr>
              <w:t xml:space="preserve">Komisijas 2009.gada 5. augusta Regulu (EK) Nr. 748/2009 par to gaisa kuģu operatoru sarakstu, kuri 2006.gada 1. janvārī vai pēc minētā datuma ir veikuši Direktīvas 2003/87/EK I pielikumā uzskaitītās aviācijas darbības, katram gaisakuģa operatoram norādot administrējošo dalībvalsti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 punktā iekļauta atsauce uz </w:t>
            </w:r>
            <w:r w:rsidR="00000000" w:rsidRPr="00000000" w:rsidDel="00000000">
              <w:rPr>
                <w:i w:val="1"/>
                <w:rtl w:val="0"/>
              </w:rPr>
              <w:t xml:space="preserve">Komisijas 2025. gada 20. maija Deleģēto Regulu (ES) 2025/927, ar ko attiecībā uz pasākumiem, kurus Starptautiskā Civilās aviācijas organizācija noteikusi aviācijas emisiju monitoringa, ziņošanas un verifikācijas nolūkā, lai īstenotu globālu tirgus pasākumu, papildina Eiropas Parlamenta un Padomes Direktīvu 2003/87/EK un atceļ Komisijas Deleģēto Regulu (ES) 2019/1603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16.2.2. apakšpunktā un 47.-48. punktā iekļauta atsauce uz </w:t>
            </w:r>
            <w:r w:rsidR="00000000" w:rsidRPr="00000000" w:rsidDel="00000000">
              <w:rPr>
                <w:i w:val="1"/>
                <w:rtl w:val="0"/>
              </w:rPr>
              <w:t xml:space="preserve">Komisijas 2024. gada 9. jūlija Īstenošanas Regulu (ES) 2024/1879, ar ko nosaka noteikumus, kā Eiropas Parlamenta un Padomes Direktīva 2003/87/EK piemērojama attiecībā uz izlīdzināšanas prasību aprēķināšanu CORSIA vajadzībām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29. punktā iekļauta atsauce uz </w:t>
            </w:r>
            <w:r w:rsidR="00000000" w:rsidRPr="00000000" w:rsidDel="00000000">
              <w:rPr>
                <w:i w:val="1"/>
                <w:rtl w:val="0"/>
              </w:rPr>
              <w:t xml:space="preserve">Eiropas Parlamenta un Padomes 2017. gada 13. decembra Regulu (ES) 2017/2392, ar ko groza Direktīvu 2003/87/EK, lai saglabātu pašreizējos darbības jomas ierobežojumus attiecībā uz aviācijas darbībām un sagatavotos globāla tirgus pasākuma īstenošanai no 2021. gada</w:t>
            </w:r>
            <w:r w:rsidR="00000000" w:rsidRPr="00000000" w:rsidDel="00000000">
              <w:rPr>
                <w:rtl w:val="0"/>
              </w:rPr>
              <w:t xml:space="preserve">, kā arī uz </w:t>
            </w:r>
            <w:r w:rsidR="00000000" w:rsidRPr="00000000" w:rsidDel="00000000">
              <w:rPr>
                <w:i w:val="1"/>
                <w:rtl w:val="0"/>
              </w:rPr>
              <w:t xml:space="preserve">Komisijas 2010. gada 9. jūlija Regulu Nr. 606/2010, ar ko apstiprina Eiropas Aeronavigācijas drošības organizācijas (Eurocontrol) izstrādātu vienkāršotu instrumentu degvielas patēriņa aplēsēm konkrētiem gaisa kuģu ekspluatantiem, kas ir mazie emitētāji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43.-43. punktā iekļauta atsauce uz </w:t>
            </w:r>
            <w:r w:rsidR="00000000" w:rsidRPr="00000000" w:rsidDel="00000000">
              <w:rPr>
                <w:i w:val="1"/>
                <w:rtl w:val="0"/>
              </w:rPr>
              <w:t xml:space="preserve">Komisijas 2025. gada 6. februāra Regulu (ES) 2025/723, kas Eiropas Parlamenta un Padomes Direktīvu 2003/87/EK papildina ar detalizētiem noteikumiem par to, kā ik gadu aprēķināmas atbalsttiesīgo aviācijas degvielu un fosilās petrolejas cenu starpības, un par ES ETS kvotu iedali atbalsttiesīgu aviācijas degvielu izmantošanai (turpmāk - Regula 2025/723)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atsauču uz regulu un tās vienībām ietveršana normatīvajos aktos pēc būtības ir regulas prasību ieviešana, ja tādējādi tiek nodrošināta regulas prasību praktiskā piemērošana, tādēļ saskaņā ar Ministru kabineta 2021. gada 7. septembra noteikumu Nr. 617 "Tiesību akta projekta sākotnējās ietekmes izvērtēšanas kārtība" 9.19. apakšpunktu aicinām izvērtēt un papildināt anotācijas 5 sadaļu ar atbilstošu informāciju par minēto tiesību aktu prasību ieviešanu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ikgadējais emisiju ziņojums – gaisa kuģa operatora sagatavots un verificētāja verificēts ziņojums par gaisa kuģa operatora ekspluatēto gaisa kuģu tādu darbību datiem un emisijām iepriekšējā kalendāra gadā, uz kurām attiecas Eiropas Savienības emisijas kvotu tirdzniecības sistēma aviācijas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108 121. punktu aicinām svītrot noteikuma projekta 2.3. apakšpunktā un 2.4. apakšpunktā iekļauto terminu skaidrojumus, ņemot vērā, ka šie termini tiek lietoti likumā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veic monitoringu un sniedz ikgadējo emisiju ziņojumu saskaņā ar Eiropas Komisijas 2018.gada 19. decembra Regulu Nr. 2018/2066 par siltumnīcefekta gāzu emisiju monitoringu un ziņošanu saskaņā ar Eiropas Parlamenta un Padomes Direktīvu 2003/87/EK un ar ko groza Komisijas Regulu (ES) Nr. 601/2012 (turpmāk – Regula Nr. 2018/2066) un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108 170.-172. punktu aicinām precizēt noteikumu projekta 3.1. apakšpunktā ievietoto atsauci uz </w:t>
            </w:r>
            <w:r w:rsidR="00000000" w:rsidRPr="00000000" w:rsidDel="00000000">
              <w:rPr>
                <w:i w:val="1"/>
                <w:rtl w:val="0"/>
              </w:rPr>
              <w:t xml:space="preserve">Eiropas Komisijas 2018.gada 19. decembra Regulu Nr. 2018/2066 par siltumnīcefekta gāzu emisiju monitoringu un ziņošanu saskaņā ar Eiropas Parlamenta un Padomes Direktīvu 2003/87/EK un ar ko groza Komisijas Regulu (ES) Nr. 601/2012</w:t>
            </w:r>
            <w:r w:rsidR="00000000" w:rsidRPr="00000000" w:rsidDel="00000000">
              <w:rPr>
                <w:rtl w:val="0"/>
              </w:rPr>
              <w:t xml:space="preserve">, norādot, ka tā ir</w:t>
            </w:r>
            <w:r w:rsidR="00000000" w:rsidRPr="00000000" w:rsidDel="00000000">
              <w:rPr>
                <w:b w:val="1"/>
                <w:rtl w:val="0"/>
              </w:rPr>
              <w:t xml:space="preserve"> Īstenošanas </w:t>
            </w:r>
            <w:r w:rsidR="00000000" w:rsidRPr="00000000" w:rsidDel="00000000">
              <w:rPr>
                <w:rtl w:val="0"/>
              </w:rPr>
              <w:t xml:space="preserve">regula. Kā arī aicinām šādu precizējumu veikt noteikumu projekta 43. punktā, norādot, ka </w:t>
            </w:r>
            <w:r w:rsidR="00000000" w:rsidRPr="00000000" w:rsidDel="00000000">
              <w:rPr>
                <w:i w:val="1"/>
                <w:rtl w:val="0"/>
              </w:rPr>
              <w:t xml:space="preserve">Komisijas 2025. gada 6. februāra Regulas (ES) 2025/723 , kas Eiropas Parlamenta un Padomes Direktīvu 2003/87/EK papildina ar detalizētiem noteikumiem par to, kā ik gadu aprēķināmas atbalsttiesīgo aviācijas degvielu un fosilās petrolejas cenu starpības, un par ES ETS kvotu iedali atbalsttiesīgu aviācijas degvielu izmantošanai</w:t>
            </w:r>
            <w:r w:rsidR="00000000" w:rsidRPr="00000000" w:rsidDel="00000000">
              <w:rPr>
                <w:rtl w:val="0"/>
              </w:rPr>
              <w:t xml:space="preserve"> ir </w:t>
            </w:r>
            <w:r w:rsidR="00000000" w:rsidRPr="00000000" w:rsidDel="00000000">
              <w:rPr>
                <w:b w:val="1"/>
                <w:rtl w:val="0"/>
              </w:rPr>
              <w:t xml:space="preserve">Deleģētā</w:t>
            </w:r>
            <w:r w:rsidR="00000000" w:rsidRPr="00000000" w:rsidDel="00000000">
              <w:rPr>
                <w:rtl w:val="0"/>
              </w:rPr>
              <w:t xml:space="preserve"> regula. Kā arī aicinām attiecīgi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Jauns gaisa kuģa operators, kurš atbilst Regulas Nr. 2018/2066 55. panta 1. punktam, monitoringu uzsāk ar dienu, kad tas tiek iekļauts gaisa kuģu operatoru sarakstā, kas noteikts Komisijas 2009.gada 5. augusta Regulas (EK) Nr. 748/2009 par to gaisa kuģu operatoru sarakstu, kuri 2006.gada 1. janvārī vai pēc minētā datuma ir veikuši likuma “Par piesārņojumu” 2. pielikuma II sadaļā uzskaitītās aviācijas darbības, katram gaisa kuģa operatoram norādot administrējošo dalībvalsti, pielikumā (turpmāk – Eiropas Komisijas saraksts), vai kad uzsāk darbības, uz kurām attiecas Eiropas Savienības emisijas kvotu tirdzniecības sistēma aviācijas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5. punktā atsauci uz Eiropas Savienības regulu precizēt atbilstoši noteikumu Nr. 108 170.-172. punktam, proti, atsauci uz Regulu Nr. 748/2009 noformējot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2009.gada 5. augusta Regulas (EK) Nr. 748/2009 par to gaisa kuģu operatoru sarakstu, kuri 2006.gada 1. janvārī vai pēc minētā datuma ir veikuši Direktīvas 2003/87/EK I pielikumā uzskaitītās aviācijas darbības, katram gaisakuģa operatoram norādot administrējošo dalībvalsti".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verificētājs likuma "Par piesārņojumu" 2. pielikuma II sadaļā minēto darbību verificēšanai kopā ar akreditāciju ir saņēmis apliecinājumu par savu atbilstību Komisijas 2018. gada 19. decembra Īstenošanas Regulā (ES) 2018/2067 par datu verifikāciju un verificētāju akreditāciju saskaņā ar Eiropas Parlamenta un Padomes Direktīvu 2003/87/EK (turpmāk – Regula Nr. 2018/2067)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26.1. un 26.4. apakšpunktos iekļautās prasības attiecībā uz verificētāju, jo tās daļēji pārklājas, proti, projekta 26.1. apakšpunktā noteikts, ka verificētājs cita starp saņēmis apliecinājumu par savu atbilstību Komisijas 2018. gada 19. decembra Īstenošanas Regulas (ES) 2018/2067 par datu verifikāciju un verificētāju akreditāciju saskaņā ar Eiropas Parlamenta un Padomes Direktīvu 2003/87/EK (turpmāk – Regula Nr. 2018/2067) prasībām, savukārt projekta 26.4.apakšpunkts šķietami sašaurina prasības attiecībā uz verificētāju, paredzot, ka tas atbilst Regulas Nr. 2018/2067 38. panta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26.01.2026.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26.01.2026.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