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Metodiskās vadības institūcijas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Metodiskās vadības institūcijas statusa piešķiršanas kritēriji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 punkta redakcijas, nav arī detalizētāk skaidrots Anotācijā, nav saprotams, kas notiek, ja kritēriji netiek izpildīti un vai iespējams, ka statuss tiek "apturēts". Ja tiek apturēts, kas notiek ar piesķirto finansējumu. Tāpat nav noteikts, ka, ja kādu iemeslu dēļ metodiskās vadības institūcijas statuss tiek zaudēts, ministrijai ir pienākums arī šāda veida innformāciju publiskot. Aicinām papildināt Anotāciju, skaidrojot plānoto kārtību minētajā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10.07.2024.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10.07.2024.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Atzinumi_24-TA-317.docx</dc:title>
</cp:coreProperties>
</file>

<file path=docProps/custom.xml><?xml version="1.0" encoding="utf-8"?>
<Properties xmlns="http://schemas.openxmlformats.org/officeDocument/2006/custom-properties" xmlns:vt="http://schemas.openxmlformats.org/officeDocument/2006/docPropsVTypes"/>
</file>