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23-TA-307: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2020. gada 18. februāra noteikumos Nr. 93 "Norvēģijas finanšu instrumenta 2014.–2021. gada perioda programmas "Klimata pārmaiņu mazināšana, pielāgošanās tām un vide" īstenošanas noteikumi"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2.0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24.03.2023.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27.03.2023.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Ministru kabineta 2020. gada 18. februāra noteikumos Nr. 93 "Norvēģijas finanšu instrumenta 2014.–2021. gada perioda programmas "Klimata pārmaiņu mazināšana, pielāgošanās tām un vide" īstenošanas noteikumi"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Neatbalstām noteikumu projekta tālāku virzību, ņemot vērā, ka noteikumu projektā ir iekļauti tikai tehniska rakstura grozījumi, proti, grozījumi, kas saistīti ar Klimata un enerģētikas ministrijas izveidošanu un attiecīgu iestādes nosaukuma precizēšanu.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uz Ministru kabineta iekārtas likuma pārejas noteikumu 15. un 16.punktā noteikto, ka līdz dienai, kad stājas spēkā attiecīgi grozījumi citos normatīvajos aktos, klimata un enerģētikas ministrs, ievērojot Valsts pārvaldes iekārtas likumā noteikto, īsteno ekonomikas ministra un vides aizsardzības un reģionālās attīstības ministra kompetences klimata un enerģētikas jomās. Līdz dienai, kad stājas spēkā attiecīgi grozījumi citos normatīvajos aktos, </w:t>
            </w:r>
            <w:r w:rsidR="00000000" w:rsidRPr="00000000" w:rsidDel="00000000">
              <w:rPr>
                <w:u w:val="single"/>
                <w:rtl w:val="0"/>
              </w:rPr>
              <w:t xml:space="preserve">tajos lietotie termini "Vides aizsardzības un reģionālās attīstības ministrija" un "Ekonomikas ministrija" atbilst terminam "Klimata un enerģētikas ministrija"</w:t>
            </w:r>
            <w:r w:rsidR="00000000" w:rsidRPr="00000000" w:rsidDel="00000000">
              <w:rPr>
                <w:rtl w:val="0"/>
              </w:rPr>
              <w:t xml:space="preserve">, ņemot vērā pārejas noteikumu 15. punktā minētās funkcijas un kompetences.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noteikumu projektā paredzētie grozījumi nav virzāmi atsevišķi, bet iekļaujami tādā projektā, ar ko Ministru kabineta 2020. gada 18. februāra noteikumi Nr. 93 "Norvēģijas finanšu instrumenta 2014.–2021. gada perioda programmas "Klimata pārmaiņu mazināšana, pielāgošanās tām un vide" īstenošanas noteikumi" tiek grozīti pēc būtības.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Andra Reinfelde (TM)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23-TA-307</w:t>
    </w:r>
    <w:r>
      <w:br/>
    </w:r>
    <w:r w:rsidR="00000000" w:rsidRPr="00000000" w:rsidDel="00000000">
      <w:rPr>
        <w:rtl w:val="0"/>
      </w:rPr>
      <w:t xml:space="preserve">Izdrukāts 24.03.2023. 13.13</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23-TA-307</w:t>
    </w:r>
    <w:r>
      <w:br/>
    </w:r>
    <w:r w:rsidR="00000000" w:rsidRPr="00000000" w:rsidDel="00000000">
      <w:rPr>
        <w:rtl w:val="0"/>
      </w:rPr>
      <w:t xml:space="preserve">Izdrukāts 24.03.2023. 13.13</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Atzinumi_23-TA-307.docx</dc:title>
</cp:coreProperties>
</file>

<file path=docProps/custom.xml><?xml version="1.0" encoding="utf-8"?>
<Properties xmlns="http://schemas.openxmlformats.org/officeDocument/2006/custom-properties" xmlns:vt="http://schemas.openxmlformats.org/officeDocument/2006/docPropsVTypes"/>
</file>