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Sadales sistēmas operators, pamatojoties uz mājsaimniecības lietotāja iesniegumu, pārceļ elektroenerģijas neto uzskaites sistēmā uzkrāto saražotās elektroenerģijas apjomu uz mājsaimniecības lietotāju, kas turpina izmantot elektroenerģijas neto uzskaites sistēmu tajā pašā mājsaimniecības objektā iepriekšējā lietotāja nāves gadījumā,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ietverts 17.</w:t>
            </w:r>
            <w:r w:rsidR="00000000" w:rsidRPr="00000000" w:rsidDel="00000000">
              <w:rPr>
                <w:vertAlign w:val="superscript"/>
                <w:rtl w:val="0"/>
              </w:rPr>
              <w:t xml:space="preserve">2</w:t>
            </w:r>
            <w:r w:rsidR="00000000" w:rsidRPr="00000000" w:rsidDel="00000000">
              <w:rPr>
                <w:rtl w:val="0"/>
              </w:rPr>
              <w:t xml:space="preserve">punkts, savukārt Noteikumu konsolidētajā versijā minētais punkts ir palicis. Izziņā norādīts, ka Regulatora iebildums par šo punktu nav ņemts vērā, izziņā norādot, ka minētā tiesību norma nav skatāma kopsakarā ar mantojuma lietu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arī tad, ja mājsaimniecība turpina izmantot elektroenerģijas neto uzskaites sistēmu tajā pašā mājsaimniecības objektā iepriekšējā lietotāja nāves gadījumā, arī tiesību un saistību pārņēmējam (jeb nākamajam mājsaimniecības lietotājam) būs jāpārslēdz līgums ar sadales sistēmas operatoru, un šāda norma var ilgt tikai līdz brīdim, kad būs noslēgts jauns līgums.  Atkārtoti norādām, ka Noteikumu 17.</w:t>
            </w:r>
            <w:r w:rsidR="00000000" w:rsidRPr="00000000" w:rsidDel="00000000">
              <w:rPr>
                <w:vertAlign w:val="superscript"/>
                <w:rtl w:val="0"/>
              </w:rPr>
              <w:t xml:space="preserve">2</w:t>
            </w:r>
            <w:r w:rsidR="00000000" w:rsidRPr="00000000" w:rsidDel="00000000">
              <w:rPr>
                <w:rtl w:val="0"/>
              </w:rPr>
              <w:t xml:space="preserve"> punktā noteiktais praktiski nebūs izpildāms, jo jautājums ir saistīts ar mantojuma tiesībām un faktiski – ar jaunu lietotāju. Regulators lūdz ņemt vērā, ka objektā var arī nebūt nākošā lietotāja, un nav saprotams, kā sistēmas operators šādu nosacījumu tiesiski varēs izpildīt. Tāpat norādāms, ka šāda regulējuma gadījumā varētu rasties tiesiskā nenoteiktība saistībā ar to, ka vispārēji mantinieks ir uzskatāms par aizgājēja saistību un tiesību pārņēmēju, savukārt “nākamais lietotājs” objektā varētu būt persona, kas nav saistīta ar aizgājēja mantojumu vai arī ir atteikusies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1</w:t>
            </w:r>
            <w:r w:rsidR="00000000" w:rsidRPr="00000000" w:rsidDel="00000000">
              <w:rPr>
                <w:rtl w:val="0"/>
              </w:rPr>
              <w:t xml:space="preserve"> Sistēmas operatoram ir tiesības nekavējoties vienpusēji izbeigt noslēgto sistēmas lietošanas līgumu ar tirgotāju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minētais punkts ir lieks, ņemot vērā, ka tiesību normas attiecībā uz 118.</w:t>
            </w:r>
            <w:r w:rsidR="00000000" w:rsidRPr="00000000" w:rsidDel="00000000">
              <w:rPr>
                <w:vertAlign w:val="superscript"/>
                <w:rtl w:val="0"/>
              </w:rPr>
              <w:t xml:space="preserve">1</w:t>
            </w:r>
            <w:r w:rsidR="00000000" w:rsidRPr="00000000" w:rsidDel="00000000">
              <w:rPr>
                <w:rtl w:val="0"/>
              </w:rPr>
              <w:t xml:space="preserve">1.apakšpunktā ietverto tiesisko regulējumu ir nostiprinātas Noteikumu IX1 nodaļā (skat. 87.</w:t>
            </w:r>
            <w:r w:rsidR="00000000" w:rsidRPr="00000000" w:rsidDel="00000000">
              <w:rPr>
                <w:vertAlign w:val="superscript"/>
                <w:rtl w:val="0"/>
              </w:rPr>
              <w:t xml:space="preserve">9</w:t>
            </w:r>
            <w:r w:rsidR="00000000" w:rsidRPr="00000000" w:rsidDel="00000000">
              <w:rPr>
                <w:rtl w:val="0"/>
              </w:rPr>
              <w:t xml:space="preserve"> punktu) un 118.punktā, līdz ar to nav nepieciešams tās dublēt. Sankciju tiesiskais regulējums ir ietverts citos, speciālajos normatīvajos aktos (Noteikumu 118.</w:t>
            </w:r>
            <w:r w:rsidR="00000000" w:rsidRPr="00000000" w:rsidDel="00000000">
              <w:rPr>
                <w:vertAlign w:val="superscript"/>
                <w:rtl w:val="0"/>
              </w:rPr>
              <w:t xml:space="preserve">1</w:t>
            </w:r>
            <w:r w:rsidR="00000000" w:rsidRPr="00000000" w:rsidDel="00000000">
              <w:rPr>
                <w:rtl w:val="0"/>
              </w:rPr>
              <w:t xml:space="preserve">2.apakšpunkts); maksātnespējas procesa pasludināšana nenozīmē, ka uzņemtās saistības netiks pildītas un, ja šādas vienpusējas atkāpšanās tiesības sadales sistēmas operatoram tomēr ir plānots piešķirt, būtu jāizvērtē sistēmas operatora un maksātnespējīgā komersanta kreditoru tiesisko interešu samērīgums (Noteikumu 118.</w:t>
            </w:r>
            <w:r w:rsidR="00000000" w:rsidRPr="00000000" w:rsidDel="00000000">
              <w:rPr>
                <w:vertAlign w:val="superscript"/>
                <w:rtl w:val="0"/>
              </w:rPr>
              <w:t xml:space="preserve">1</w:t>
            </w:r>
            <w:r w:rsidR="00000000" w:rsidRPr="00000000" w:rsidDel="00000000">
              <w:rPr>
                <w:rtl w:val="0"/>
              </w:rPr>
              <w:t xml:space="preserve">3.apakšpunkts); Noteikumu 118.</w:t>
            </w:r>
            <w:r w:rsidR="00000000" w:rsidRPr="00000000" w:rsidDel="00000000">
              <w:rPr>
                <w:vertAlign w:val="superscript"/>
                <w:rtl w:val="0"/>
              </w:rPr>
              <w:t xml:space="preserve">1</w:t>
            </w:r>
            <w:r w:rsidR="00000000" w:rsidRPr="00000000" w:rsidDel="00000000">
              <w:rPr>
                <w:rtl w:val="0"/>
              </w:rPr>
              <w:t xml:space="preserve">4.apakšpunktā ir ietvertas tiesības sistēmas operatoram izbeigt līgumu gadījumā, ja ir iestājušies apstākļi, kas liedz vai liegs tirgotājam turpināt tirgotāja funkciju un pienākumu izpildi – Regulators vērš īpašu uzmanību, ka no minētā regulējuma nav saprotams, kādā veidā sistēmas operators spēj izvērtēt tiesību normā nekonkretizētu apstākļu iestāšanos saistībā ar tirgotāja spēju pildīt uzņemtās saistības; savukārt Noteikumu 118.</w:t>
            </w:r>
            <w:r w:rsidR="00000000" w:rsidRPr="00000000" w:rsidDel="00000000">
              <w:rPr>
                <w:vertAlign w:val="superscript"/>
                <w:rtl w:val="0"/>
              </w:rPr>
              <w:t xml:space="preserve">1</w:t>
            </w:r>
            <w:r w:rsidR="00000000" w:rsidRPr="00000000" w:rsidDel="00000000">
              <w:rPr>
                <w:rtl w:val="0"/>
              </w:rPr>
              <w:t xml:space="preserve">5.apakšpunktā ietvertajai tiesību normai nav juridiskās slodzes, jo minētais izriet no pušu starpā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14.10.2024.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14.10.2024.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