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vispārējās tehniskās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Informācijas sistēmas pārzinis nodrošina šajos noteikumos noteikto prasību izpildi atbilstoši tam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noteikto prasību izpildi informācijas sistēmas pārzinis var nodrošināt ne tikai par valsts budžeta līdzekļiem, bet arī izmantot citus finansēšanas instrumentus (piemēram: Atveseļošanas un noturības mehānisma programmas). Domājams, ka izmantojot citus finanšu instrumentus, arī ir jāievēro noteikumu projektā ietvertās vispārējās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11.punkta redakciju, paredzot, ka šajos noteikumos noteikto prasību izpildi var nodrošinot arī citu finanšu instrumentu finansētu projektu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minimālās nefunkcionālās tehniskās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4.6.apakšpunkts noteic, ka lietojumprogrammatūras arhitektūras prasības un projektējumu, ieskaitot izmantojamās platformas un to atbalsta un licencēšanas prasības, saskaņo ar IKT infrastruktūras koplietošanas pakalpojumu sniedzēju, kura pakalpojumi tiks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virzīto publiskās pārvaldes IKT risinājumu politiku, visām valsts informācijas sistēmām ir jāpāriet uz koplietošanas datu centriem. Ievērojot noteikumu projekta pielikuma 4.6.apakšpunkta prasības, izveidojot vai attīstot valsts informācijas sistēmas, to lietojumprogrammatūras arhitektūras prasības un projektējums, kā arī izmantojamās platformas un to atbalsta un licencēšanas prasības ir jāsaskaņo ar IKT infrastruktūras koplietošanas pakalpojumu sniedzēju. Ievērojot šodienas infrastruktūras resursu iespējas, šāda prasība ir nepamatota, jo paredz IKT infrastruktūras koplietošanas pakalpojumu sniedzēja būtisku ietekmi uz informācijas sistēmas pārziņa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pielikuma 4.6.apakšpunkta redakciju,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informācijas sistēmas uzturēšanai tiek izmantoti IKT infrastruktūras koplietošanas pakalpojums, lietojumprogrammatūras arhitektūras prasības un projektējumu, ieskaitot izmantojamās platformas un to atbalsta un licencēšanas prasības, izstrādā vērtējot IKT infrastruktūras koplietošanas pakalpojuma izmaksas un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minimālās nefunkcionālās tehniskās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pielikuma 5.2.apakšpunkta trešo teikumu “Prasības informācijas sistēmas lietotāju gala iekārtām saskaņo ar datorizēto darba vietu attīstības plānu un pakalpojuma sniedzēju”, jo nav saprotams, ko nozīmē “datorizēto darba vietu attīstības plāns” un par kādu pakalpojumu sniedzēju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2.2.apakšpunkts noteic, ka kontrolētai datu apritei starp dažādām valsts pārvaldes institūcijām, kā arī kontrolētai datu nodošanai ārpus valsts pārvaldes izmanto valsts informācijas sistēmu savietotāju (VISS), konkrētām datu apritēm piemērojot tām atbilstošāko savietotāja piedāvāto tehnisko risinājumu (t. sk. datu izplatīšanas tīklu (DIT), pakalpju vārteju un datu agregatoru (DAGR)). Ja datu nodošana notiek tikai starp divām valsts pārvaldes iestādēm, valsts informācijas sistēmu savietotāja (VISS) izmantošana nav obligāta. Savukārt noteikumu projekta 3.punkts noteic, ka informācijas sistēmas pārzinis, nosakot informācijas sistēmu nefunkcionālās tehniskās prasības, ievēro šo noteikumu pielikumā informācijas sistēmām izvirzītās minimālās nefunkcionālās tehniskās prasības un izņēmumus saskaņo ar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jebkuras jaunas datu apmaiņas nodrošināšanai starp valsts pārvaldes institūcijām vai valsts institūciju un privātu personu, izņemot gadījumu datu apritei tikai starp divām valsts pārvaldes iestādēm, ir jāizmanto VISS vai DAGR. Vienlaicīgi ir iespējami izņēmumi no šīs prasības, taču tie ir jāsaskaņo ar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datu apriti ar Starptautisko kravu loģistikas un ostu informācijas sistēmu (SKLOIS) veic viena osta, tad tas ir pieļaujams. Ja analoģisku datu apriti uzsāk veikt cita osta, šī datu aprite ir jānodrošina izmantojot VISS vai DAGR. Analoģiska situācija ir ar komersantiem, kuri strādā ostā un veic datu apriti ar SKLOIS – kamēr to veic viens komersants, tas ir pieļaujams. Ja ar analoģisku biznesu nodarbojas otrs komersants – datu aprite jāveic ar VISS vai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projekta anotācijas 1.3.sadaļu ar informāciju par kritērijiem vai pazīmēm, kas raksturo un nosaka iespējamos izņēmumus noteikumu projekta pielikuma 2.2.apakšpunkta prasībām un kurus Vides aizsardzības un reģionālās attīstības ministrija atzīst par pamatotiem un saskaņo.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anotācijas 1.3.sadaļā skaidrot kārtību, kādā iespējams izpildīt noteikumu projekta pielikuma 2.2.apakšpunkta prasības, jo datu aprites nodrošināšana, izmantojot tikai VISS, DIT un DAGR, prasa veikt savstarpēji saskaņotas attīstības projektu aktivitātes, saskaņojot finanšu, laika un personāla resursus starp vismaz diviem informācijas sistēmu pārziņiem.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minimālās nefunkcionālās tehniskās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2.2.apakšpunktā ir noteikts, ka kontrolētai datu apritei izmanto datu agregatoru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2.3.apakšpunktā ir noteikts, ka informācijas sistēmas tehnoloģiskajiem risinājumiem un darbības procesiem ir pastāvīgi pieejami izplatāmie dati, ja vien datu pieejamības nodrošināšanas funkcija nav nodota valsts informācijas sistēmu savietotāja datu agregatoram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projektu “Datu izplatīšanas un pārvaldības platformas noteikumi” (TAP-22-2640) DAGR ir atrunāta kā Datu izplatīšanas un pārvaldības platforma nevis valsts informācijas sistēmu savietotāja datu agregators.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lietot saskaņotu DAGR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22.12.2022.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22.12.2022.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Atzinumi_22-TA-3354.docx</dc:title>
</cp:coreProperties>
</file>

<file path=docProps/custom.xml><?xml version="1.0" encoding="utf-8"?>
<Properties xmlns="http://schemas.openxmlformats.org/officeDocument/2006/custom-properties" xmlns:vt="http://schemas.openxmlformats.org/officeDocument/2006/docPropsVTypes"/>
</file>