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Farmaceitiskās darbības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"Farmaceitiskās darbības licencēšanas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Farmācijas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2 </w:t>
            </w:r>
            <w:r w:rsidR="00000000" w:rsidRPr="00000000" w:rsidDel="00000000">
              <w:rPr>
                <w:rtl w:val="0"/>
              </w:rPr>
              <w:t xml:space="preserve">pantā minētos nosacījumus, aicinām izvērtēt nepieciešamību attiecīgi precizēt noteikumu projektu, piemēram, 41., 42., 44., 46., 52. un 56. punktu, kā arī noteikumu projekta 4. pielikuma 3.2. punktu, attiecībā uz veterināro zāļu ražošanu vai izplatīšanu vairumtirdzniecībā vai attiecīgi precizēt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anotācijā un noteikumu projekta pielikumos nepārprotami norādīt uz kāda veida veterinārām zālēm attiecas speciālās atļaujas (licences) zāļu ražošanai vai importēšanai un zāļu lieltirgotavas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Ketija Broka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27.06.2025. 07.48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27.06.2025. 07.48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Atzinumi_25-TA-1407.docx</dc:title>
</cp:coreProperties>
</file>

<file path=docProps/custom.xml><?xml version="1.0" encoding="utf-8"?>
<Properties xmlns="http://schemas.openxmlformats.org/officeDocument/2006/custom-properties" xmlns:vt="http://schemas.openxmlformats.org/officeDocument/2006/docPropsVTypes"/>
</file>