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Nacionālais enerģētikas un klimata plāns 2021.-2030.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 turpmāk - FM) papildus 27.06.2024. TAP portālā sniegtajam atzinumam izsaka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projektā sadaļu III “Rīcībpolitikas un pasākumi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FM kā līdzatbildīgo institūciju no plāna 3.1.1.5. punkta “Smagā transporta zaļināšanas programma”, 3.1.1.15. punkta “Noteikt AER izmantošanas pienākumu valstspilsētās izmantotajam sabiedriskajam un pašvaldību transportam”,  3.1.1.16. punkta “Elektrificēt sabiedrisko transportu un uzlabot sabiedriskā transporta elektroenerģijas infrastruktūru”, jo esošajā skaidrojumā nav saprotama FM iesaiste atbilstoši FM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FM kā atbildīgo no plāna 3.2.3.17.punkta “NPP ietvaros izvērtēt dzīvojamām mājām (vai to daļām), kurās ir veikti energoefektivitātes uzlabošanas pasākumi, piemēroto normatīvo regulējumu”, nosakot FM kā līdzatbildīgo un kā atbildīgo nosakot Ekonomikas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Sevele (FM) (Andžela Aperčoje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02.07.2024. 12.46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02.07.2024. 12.46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Atzinumi_24-TA-1384.docx</dc:title>
</cp:coreProperties>
</file>

<file path=docProps/custom.xml><?xml version="1.0" encoding="utf-8"?>
<Properties xmlns="http://schemas.openxmlformats.org/officeDocument/2006/custom-properties" xmlns:vt="http://schemas.openxmlformats.org/officeDocument/2006/docPropsVTypes"/>
</file>