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Būvvalde pieprasa būvniecības ierosinātājam saņemt tehniskos un īpašos noteikumus no valsts institūcijām, ja tas noteikts attiecīgās jomas normatīvajos aktos. Ja būvniecība skar objektu un inženiertīklu ekspluatācijas aizsargjoslas, projektēšanai jāsaņem arī attiecīgo objektu un inženiertīklu īpašnieku tehniskie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1.panta pirmo punktu aizsargjoslas ir noteiktas platības, kuru uzdevums ir aizsargāt dažāda veida (gan dabiskus, gan mākslīgus) objektus no nevēlamas ārējās iedarbības, nodrošināt to ekspluatāciju un drošību vai pasargāt vidi un cilvēku no kāda objekta kaitīgās ietekmes. Aizsargjoslu likuma sniegtā definīcija norāda uz aizsargjoslu īpašo statusu. Vienlaikus Aizsargjoslu likuma 35.pants un 45.pants regulē ierobežojumus aizsargjoslās (piemēram, aizliegts aizkraut pievedceļus un pieejas elektrisko tīklu objektiem, aizliegts aizsargjoslās gar gaisa vadu līnijām ierīkot sporta laukumus, rotaļu laukumus, stadionus, tirgus, sabiedriskā transporta pieturas, mašīnu un mehānismu stāvvietas, kā arī veikt jebkādus pasākumus, kas saistīti ar cilvēku pulcēšanos u.c.). Ja Aizsargjoslu likums nosaka ierobežojumus dažādu saimniecisku darbību veikšanai, tad vēl jo vairāk inženiertīklu īpašniekiem ir jābūt pārliecinātam par būvdarbu veikšanas pieļaujamību un drošību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 (turpmāk - AST) norāda, ka inženiertīkli ir nacionāli svarīgi objekti, bet vienlaikus šie objekti ir ar paaugstinātu bīstamību. Nesaskaņotas darbības aizsargjoslās var radīt risku gan cilvēka dzīvībai un veselībai, gan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Izslēdzot no Likumprojekta pienākumu par obligātu inženiertīklu īpašnieku tehnisko noteikumu saņemšanu, ja būvniecība skar objektu un inženiertīklu ekspluatācijas aizsargjoslas, pastāv risks nopietniem pārkāpumiem aizsargjoslās, kas nav pieļaujams pie jebkādiem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AST iebilst par Vispārīgo būvnoteikumu 15.punkta izslēgšanu.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Līckrastiņa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Inženierbūvju īpašnieki vai tiesiskie valdītāji tehniskos noteikumus būvniecības ieceres īstenošanai izdod bez maksas 10 darbadienu laikā pēc pieprasījuma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 (turpmāk - AST) norāda, ka Likumprojektā iekļautie termiņi tehnisko noteikumu izdošanai (10 dienas) un to saskaņošanai (15 dienas) ir nesamērīgi īsi, ņemot vērā nepieciešamo laiku apjomīgu un kvalitatīvu tehnisko noteikumu izstrādāšanai.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AST iebilst pret Vispārīgo būvnoteikumu 17. un 17.</w:t>
            </w:r>
            <w:r w:rsidR="00000000" w:rsidRPr="00000000" w:rsidDel="00000000">
              <w:rPr>
                <w:vertAlign w:val="superscript"/>
                <w:rtl w:val="0"/>
              </w:rPr>
              <w:t xml:space="preserve">1</w:t>
            </w:r>
            <w:r w:rsidR="00000000" w:rsidRPr="00000000" w:rsidDel="00000000">
              <w:rPr>
                <w:rtl w:val="0"/>
              </w:rPr>
              <w:t xml:space="preserve"> punkta dzēšanu un uzskata, ka tehnisko noteikumu izdošanas un saskaņošanas termiņš jāsaglabā šobrīd spēkā esošajā Vispārīgo būvnoteikumu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Līckrastiņa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Inženierbūves īpašnieki vai tiesiskie valdītāji būvprojektu saskaņo vai sniedz atteikumu to saskaņot saprātīgā termiņā, bet ne ilgāk kā 15 darbadienu laikā pēc būvprojekta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 (turpmāk - AST) norāda, ka Likumprojektā iekļautie termiņi tehnisko noteikumu izdošanai (10 dienas) un to saskaņošanai (15 dienas) ir nesamērīgi īsi, ņemot vērā nepieciešamo laiku apjomīgu un kvalitatīvu tehnisko noteikumu izstrādāšanai.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AST iebilst pret Vispārīgo būvnoteikumu 17. un 17.</w:t>
            </w:r>
            <w:r w:rsidR="00000000" w:rsidRPr="00000000" w:rsidDel="00000000">
              <w:rPr>
                <w:vertAlign w:val="superscript"/>
                <w:rtl w:val="0"/>
              </w:rPr>
              <w:t xml:space="preserve">1</w:t>
            </w:r>
            <w:r w:rsidR="00000000" w:rsidRPr="00000000" w:rsidDel="00000000">
              <w:rPr>
                <w:rtl w:val="0"/>
              </w:rPr>
              <w:t xml:space="preserve"> punkta dzēšanu un uzskata, ka tehnisko noteikumu izdošanas un saskaņošanas termiņš jāsaglabā šobrīd spēkā esošajā Vispārīgo būvnoteikumu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Līckrastiņa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19.12.2023.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19.12.2023.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