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Eiropas digitālās inovācijas centrs kā finansējuma saņēmējs gala labuma guvējam sniedz šādus atbalsta veidus: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Ministru kabineta 2023. gada 12. septembra noteikumu Nr. 529 "Eiropas Savienības Atveseļošanas un noturības mehānisma plāna 2. komponentes "Digitālā transformācija" 2.3. reformu un investīciju virziena "Digitālās prasmes" 2.3.1.2.i. investīcijas "Uzņēmumu digitālo prasmju attīstība" īstenošanas noteikumi" (turpmāk - noteikumi Nr. 529) 14. punkta svītrošanu kā 29. un 39. punktā ietvertā regulējuma dublējošu.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1</w:t>
            </w:r>
            <w:r w:rsidR="00000000" w:rsidRPr="00000000" w:rsidDel="00000000">
              <w:rPr>
                <w:rtl w:val="0"/>
              </w:rPr>
              <w:t xml:space="preserve"> Eiropas digitālās inovācijas centrs vai inovācijas kopas dalībnieks var  piedāvāt klātienes vai hibrīdformāta digitālo prasmju apguvi, ja ir noslēgts līgumus par šo noteikumu </w:t>
            </w:r>
            <w:r w:rsidR="00000000" w:rsidRPr="00000000" w:rsidDel="00000000">
              <w:rPr>
                <w:rtl w:val="0"/>
              </w:rPr>
              <w:t xml:space="preserve">30.</w:t>
            </w:r>
            <w:r w:rsidR="00000000" w:rsidRPr="00000000" w:rsidDel="00000000">
              <w:rPr>
                <w:rtl w:val="0"/>
              </w:rPr>
              <w:t xml:space="preserve"> punktā minēto apmācību jomu apguvi ar  kādu no 10 augstākās izglītības iestādēm, kas ir iekļautas pasaules universitāšu reitingā "</w:t>
            </w:r>
            <w:r w:rsidR="00000000" w:rsidRPr="00000000" w:rsidDel="00000000">
              <w:rPr>
                <w:i w:val="1"/>
                <w:rtl w:val="0"/>
              </w:rPr>
              <w:t xml:space="preserve">Times Higher Education</w:t>
            </w:r>
            <w:r w:rsidR="00000000" w:rsidRPr="00000000" w:rsidDel="00000000">
              <w:rPr>
                <w:rtl w:val="0"/>
              </w:rPr>
              <w:t xml:space="preserve">" vai ir saņemts "</w:t>
            </w:r>
            <w:r w:rsidR="00000000" w:rsidRPr="00000000" w:rsidDel="00000000">
              <w:rPr>
                <w:i w:val="1"/>
                <w:rtl w:val="0"/>
              </w:rPr>
              <w:t xml:space="preserve">Eduniversal</w:t>
            </w:r>
            <w:r w:rsidR="00000000" w:rsidRPr="00000000" w:rsidDel="00000000">
              <w:rPr>
                <w:rtl w:val="0"/>
              </w:rPr>
              <w:t xml:space="preserve">" atzinums par atbilstību "</w:t>
            </w:r>
            <w:r w:rsidR="00000000" w:rsidRPr="00000000" w:rsidDel="00000000">
              <w:rPr>
                <w:i w:val="1"/>
                <w:rtl w:val="0"/>
              </w:rPr>
              <w:t xml:space="preserve">Palmes of Excellence</w:t>
            </w:r>
            <w:r w:rsidR="00000000" w:rsidRPr="00000000" w:rsidDel="00000000">
              <w:rPr>
                <w:rtl w:val="0"/>
              </w:rPr>
              <w:t xml:space="preserve">" ar vismaz vienu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13. punktā ietverto iebildumu un atkārtoti lūdzam noteikumu projektā skaidri norādīt: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 izpaužas prasmju apguves piedāvāšana (proti, vai šādā gadījumā prasmju apmācības piedāvā sniegt Eiropas digitālās inovācijas centrs (vai tā dalībnieks) vai inovācijas kopas dalībnieks vai minētie subjekti šīs apmācības piedāvā nodrošināt, kas savukārt varētu neatbilst noteikumu projekta 9. un 13.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starp kādām personām jābūt noslēgtam līgumam un kāds ir attiecīgā līguma priekšmets, proti, par ko līgumam jābūt noslēgtam.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38.1.1. izmaksas, kas saistītas ar atvērto tiešsaistes platformu apmācību kursu integrēšanu Eiropas digitālās inovācijas centra pakalpojumu piedāvājumu platformā un licences iegādi;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noteikumu projekta 17. un 18. punktā konkretizēt, kam licence iegādājama (proti, uz ko tā ir attiecināma). Kā arī lūdzam skaidrot, ar ko atšķiras licences iegādes izmaksas no izmaksām, kas ir saistītas ar izmaksu iegādi, nepieciešamības gadījumā vienveidojot abos minētajos punktos paredzēto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38.1.4. apmācību kursu izmaksas, kas ir tieši saistītas ar apmācību projektu, atbilst Komisijas regulas Nr.651/2014 31. panta 3. punktam, kas tiek attiecinātas uz gala labuma guvēju: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Nolūkā nodrošināt skaidras tiesību normas, lūdzam noteikumu projekta 18. punkta redakcijā izteikto noteikumu Nr. 529 38.1.4. apakšpunktu sadalīt vairākās daļās (teikumos), jo šobrīd nav skaidrs, uz ko attiecināma norāde "kas tiek attiecinātas uz gala labuma guvēju", ņemot vērā arī to, ka arī noteikumu Nr. 529 38.2. apakšpunktā norādītas izmaksas attiecināmas uz gala labuma guvēju.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38.1.4.4. ar apmācībām saistīto konsultāciju pakalpojumu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11. punktā noteikto lūdzam noteikumu projektā vai anotācijā skaidrot, kādu konkrēti pakalpojumu izmaksas ir attiecināmas, nepieciešamības gadījumā minot konkrētus piemērus.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66.26. iesūtīt nozares ministrijai aktuālo apmācību kursu sarakstu.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noteikumu projektam aktuālais apmācību kursu saraksts noteiktos gadījumos publicējams arī oficiālajā izdevumā, lūdzam izvērtēt un precizēt noteikumu projekta 28. punktu, konkretizējot, kādos gadījumos un termiņos minētais saraksts iesniedzams (nevis iesūtāms, jo nav skaidrs, vai saraksts obligāti iesniedzams elektroniski) nozares ministrijai, nodrošinot, ka attiecīgais pienākums nav nesamērīgs administratīvais slogs.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 Pirms iesnieguma iesniegšanas gala labuma guvējs vienojas ar finansējuma saņēmēju par komercdarbības atbalsta sniegšanas veidu atbilstoši Komisijas regulas Nr. </w:t>
            </w:r>
            <w:r w:rsidR="00000000" w:rsidRPr="00000000" w:rsidDel="00000000">
              <w:rPr>
                <w:rtl w:val="0"/>
              </w:rPr>
              <w:t xml:space="preserve">651/2014</w:t>
            </w:r>
            <w:r w:rsidR="00000000" w:rsidRPr="00000000" w:rsidDel="00000000">
              <w:rPr>
                <w:rtl w:val="0"/>
              </w:rPr>
              <w:t xml:space="preserve"> vai Komisijas regulas Nr. </w:t>
            </w:r>
            <w:r w:rsidR="00000000" w:rsidRPr="00000000" w:rsidDel="00000000">
              <w:rPr>
                <w:rtl w:val="0"/>
              </w:rPr>
              <w:t xml:space="preserve">1407/2013</w:t>
            </w:r>
            <w:r w:rsidR="00000000" w:rsidRPr="00000000" w:rsidDel="00000000">
              <w:rPr>
                <w:rtl w:val="0"/>
              </w:rPr>
              <w:t xml:space="preserve"> nosacījumiem.  Ja gala labuma guvējs pretendē uz komercdarbības atbalstu saskaņā ar Komisijas regulu Nr. </w:t>
            </w:r>
            <w:r w:rsidR="00000000" w:rsidRPr="00000000" w:rsidDel="00000000">
              <w:rPr>
                <w:rtl w:val="0"/>
              </w:rPr>
              <w:t xml:space="preserve">1407/2013</w:t>
            </w:r>
            <w:r w:rsidR="00000000" w:rsidRPr="00000000" w:rsidDel="00000000">
              <w:rPr>
                <w:rtl w:val="0"/>
              </w:rPr>
              <w:t xml:space="preserve">, tad gala labuma guvējam ir jāsagatavo un finansējuma saņēmējam jāiesniedz de minimis atbalsta uzskaites sistēmā sagatavotu veidlapas izdruku vai jānorāda sistēmā izveidotās un apstiprinātās pretendenta veidlapas identifikācijas numuru.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saprotams, kādēļ gala labuma guvējam apstākļos, kad tā iesniegums vēl nav iesniegts, jāvienojas ar finansējuma saņēmēju par komercdarbības atbalsta sniegšanas veidu. Norādām, ja gala labuma guvējam tiek paredzēta izvēle attiecībā uz komercdarbības atbalsta sniegšanas veidu, attiecīgu informāciju, gala labuma guvējs, pretendējot uz atbalstu, var ietvert minētajā iesniegumā. Ievērojot minēto, lūdzam izvērtēt un atbilstoši precizēt noteikumu projekta 30. punktu vai sniegt atbilstošu skaidrojumu par minēto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Atbalsts šo noteikumu </w:t>
            </w:r>
            <w:r w:rsidR="00000000" w:rsidRPr="00000000" w:rsidDel="00000000">
              <w:rPr>
                <w:rtl w:val="0"/>
              </w:rPr>
              <w:t xml:space="preserve">53.2. </w:t>
            </w:r>
            <w:r w:rsidR="00000000" w:rsidRPr="00000000" w:rsidDel="00000000">
              <w:rPr>
                <w:rtl w:val="0"/>
              </w:rPr>
              <w:t xml:space="preserve">apakšpunkt</w:t>
            </w:r>
            <w:r w:rsidR="00000000" w:rsidRPr="00000000" w:rsidDel="00000000">
              <w:rPr>
                <w:rtl w:val="0"/>
              </w:rPr>
              <w:t xml:space="preserve">ā minēto izmaksu segšanai nav uzskatāms par komercdarbības atbalstu, ja finansējuma saņēmējs nodrošina projekta vadību, piemērojot šo noteikumu </w:t>
            </w:r>
            <w:r w:rsidR="00000000" w:rsidRPr="00000000" w:rsidDel="00000000">
              <w:rPr>
                <w:rtl w:val="0"/>
              </w:rPr>
              <w:t xml:space="preserve">63.6. </w:t>
            </w:r>
            <w:r w:rsidR="00000000" w:rsidRPr="00000000" w:rsidDel="00000000">
              <w:rPr>
                <w:rtl w:val="0"/>
              </w:rPr>
              <w:t xml:space="preserve">apakšpunktā minēto procedūru. Ja finansējuma saņēmējs nodrošina projekta vadību atbilstoši šo noteikumu </w:t>
            </w:r>
            <w:r w:rsidR="00000000" w:rsidRPr="00000000" w:rsidDel="00000000">
              <w:rPr>
                <w:rtl w:val="0"/>
              </w:rPr>
              <w:t xml:space="preserve">53.1. </w:t>
            </w:r>
            <w:r w:rsidR="00000000" w:rsidRPr="00000000" w:rsidDel="00000000">
              <w:rPr>
                <w:rtl w:val="0"/>
              </w:rPr>
              <w:t xml:space="preserve">apakšpunkt</w:t>
            </w:r>
            <w:r w:rsidR="00000000" w:rsidRPr="00000000" w:rsidDel="00000000">
              <w:rPr>
                <w:rtl w:val="0"/>
              </w:rPr>
              <w:t xml:space="preserve">ā minētajiem nosacījumiem, izmaksu segšana ir uzskatāma par komercdarbības atbalstu finansējuma saņēmējam, ko sniedz atbilstoši šo noteikumu </w:t>
            </w:r>
            <w:r w:rsidR="00000000" w:rsidRPr="00000000" w:rsidDel="00000000">
              <w:rPr>
                <w:rtl w:val="0"/>
              </w:rPr>
              <w:t xml:space="preserve">82.</w:t>
            </w:r>
            <w:r w:rsidR="00000000" w:rsidRPr="00000000" w:rsidDel="00000000">
              <w:rPr>
                <w:rtl w:val="0"/>
              </w:rPr>
              <w:t xml:space="preserve"> 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Nr. 529 82. punkts neparedz komercdarbības atbalsta sniegšanu finansējuma saņēmējam, bet gan paredz komercdarbības atbalsta sniegšanu gala labuma guvējiem atšķirīgu attiecināmo izmaksu segšanai, lūdzam precizēt noteikumu projekta 32. punktā ietverto atsauci uz noteikumu Nr. 529 82. punktu vai sniegt atbilstošu skaidrojumu par minēto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Eiropas digitālās inovācijas centrs kā finansējuma saņēmējs investīcijas pirmās kārtas īstenošanai izveido atbalstāmo klātienes, hibrīdformāta un tiešsaistes apmācību kursu sarakstu šo noteikumu </w:t>
            </w:r>
            <w:r w:rsidR="00000000" w:rsidRPr="00000000" w:rsidDel="00000000">
              <w:rPr>
                <w:rtl w:val="0"/>
              </w:rPr>
              <w:t xml:space="preserve">30.</w:t>
            </w:r>
            <w:r w:rsidR="00000000" w:rsidRPr="00000000" w:rsidDel="00000000">
              <w:rPr>
                <w:rtl w:val="0"/>
              </w:rPr>
              <w:t xml:space="preserve"> punktā</w:t>
            </w:r>
            <w:r w:rsidR="00000000" w:rsidRPr="00000000" w:rsidDel="00000000">
              <w:rPr>
                <w:rtl w:val="0"/>
              </w:rPr>
              <w:t xml:space="preserve"> minētajās apmācību jomās. Tiešsaistes, klātienes un hibrīdformāta apmācību kursu aktuālo sarakstu publicē EDIC tīmekļvietnē un reizi ceturksnī informāciju par kursiem publicē oficiālajā izdevumā "Latvijas Vēstnesis".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noteikumu projekta 14. punktā konsekventi norādīt uz Eiropas digitālās inovācijas centru, nevis EDIC.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Gala labuma guvējs investīcijas pirmās kārtas ietvaros var izvēlēties atvērto tiešsaistes apmācību kursu, kas neatbilst šo noteikumu </w:t>
            </w:r>
            <w:r w:rsidR="00000000" w:rsidRPr="00000000" w:rsidDel="00000000">
              <w:rPr>
                <w:rtl w:val="0"/>
              </w:rPr>
              <w:t xml:space="preserve">30.</w:t>
            </w:r>
            <w:r w:rsidR="00000000" w:rsidRPr="00000000" w:rsidDel="00000000">
              <w:rPr>
                <w:rtl w:val="0"/>
              </w:rPr>
              <w:t xml:space="preserve"> punktā</w:t>
            </w:r>
            <w:r w:rsidR="00000000" w:rsidRPr="00000000" w:rsidDel="00000000">
              <w:rPr>
                <w:rtl w:val="0"/>
              </w:rPr>
              <w:t xml:space="preserve"> minētajām apmācību jomām, ja Eiropas digitālās inovācijas centrs apstiprina, ka tiešsaistes apmācību kurss atbilst šo noteikumu </w:t>
            </w:r>
            <w:r w:rsidR="00000000" w:rsidRPr="00000000" w:rsidDel="00000000">
              <w:rPr>
                <w:rtl w:val="0"/>
              </w:rPr>
              <w:t xml:space="preserve">40.</w:t>
            </w:r>
            <w:r w:rsidR="00000000" w:rsidRPr="00000000" w:rsidDel="00000000">
              <w:rPr>
                <w:rtl w:val="0"/>
              </w:rPr>
              <w:t xml:space="preserve"> punktā</w:t>
            </w:r>
            <w:r w:rsidR="00000000" w:rsidRPr="00000000" w:rsidDel="00000000">
              <w:rPr>
                <w:rtl w:val="0"/>
              </w:rPr>
              <w:t xml:space="preserve"> minētajām apmācību jomām. Ja nepieciešams, Eiropas digitālās inovācijas centrs aktualizē atbalstāmo tiešsaistes apmācību kursu sarakstu.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noteikumos Nr. 529 konsekventi norādīt, vai apmācību kursiem jāatbilst visām vai kādām no šo noteikumu 30. punktā vai 40. punktā minētajām jomām, nodrošinot vienveidīgu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23-TA-2364</w:t>
    </w:r>
    <w:r>
      <w:br/>
    </w:r>
    <w:r w:rsidR="00000000" w:rsidRPr="00000000" w:rsidDel="00000000">
      <w:rPr>
        <w:rtl w:val="0"/>
      </w:rPr>
      <w:t xml:space="preserve">Izdrukāts 09.11.2023. 13.02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23-TA-2364</w:t>
    </w:r>
    <w:r>
      <w:br/>
    </w:r>
    <w:r w:rsidR="00000000" w:rsidRPr="00000000" w:rsidDel="00000000">
      <w:rPr>
        <w:rtl w:val="0"/>
      </w:rPr>
      <w:t xml:space="preserve">Izdrukāts 09.11.2023. 13.02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Atzinumi_23-TA-2364.docx</dc:title>
</cp:coreProperties>
</file>

<file path=docProps/custom.xml><?xml version="1.0" encoding="utf-8"?>
<Properties xmlns="http://schemas.openxmlformats.org/officeDocument/2006/custom-properties" xmlns:vt="http://schemas.openxmlformats.org/officeDocument/2006/docPropsVTypes"/>
</file>