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kokus,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zemē, kas Nekustamā īpašuma valsts kadastra informācijas sistēmā reģistrēta kā lauksaimniecībā izmantojamā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 pret 5.9. apakšpunktu.</w:t>
            </w:r>
            <w:r w:rsidR="00000000" w:rsidRPr="00000000" w:rsidDel="00000000">
              <w:rPr>
                <w:rtl w:val="0"/>
              </w:rPr>
              <w:t xml:space="preserve"> Noteikumu 4. punktā ir minētas tikai ainaviski un ekoloģiski jutīgas vietas, kur koku saglabāšana ir ļoti būtiska, piemēram aizsargjoslās vai pašvaldības teritorijas attīstības plānošanas dokumentos noteiktajā ainaviski vērtīgajā teritorijā. Lauksaimnieciskā darbība ir īstenojama, saglabājot kokus, vai izņēmuma gadījumā tie nocērtami ar pašvaldības atļauju. Ir būtiski saglabāt šādus kokus kā ekoloģiskās salas lauksaimniecībā izmantojamajās zemēs, kur tie var nodrošināt sugu pastāvēšanu. Lai gan ir ietverta atsauce uz 4.11. apakšpunktu, šādu izmēru sasnieguši koki nav vienīgie vērtīgie, jo īpaši lokālā mērogā un vietās, kur 4.11. apakšpunktam atbilstošu koku nemaz nav. Iekļaujot 5.9. punktu esošajā redakcijā, bez tālākiem precizējumiem, ir paredzams, ka jaunās paaudzes 4.11. apakšpunktā aprakstītie koki šādās zemēs nemaz neizaugs.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5.9.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minētajā gadījumā nocērtamo koku fotografē vismaz no trijiem skatu punktiem tā, lai būtu skaidri redzams tas, ka koks ir nokaltis (piemēram, fotografē veģetācijas periodā) vai skaidri redzamas drošību ietekmējošās koka daļas vai citas pazīmes (piemēram, paceltas vai citādi mehāniski bojātas saknes, sašķelts, aizlūzis, apdedzis, trupējis vai nolūzis stumbrs, koks, kas ir augstāks par attālumu no koka sakņu kakla līdz infrastruktūras objektam ir sasvēries no vertikālās ass uz infrastruktūras objekta pusi vairāk par 15⁰ vai tam ir nesimetrisks vainags, kura skeletzari aug infrastruktūras objekta virzienā un tā stumbra garums no saknes līdz vainagam ir lielāks par 40 % no visa koka garuma).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Iebilstam pret esošo redakciju 6. punktā, daļai otrajās iekavās.</w:t>
            </w:r>
            <w:r w:rsidR="00000000" w:rsidRPr="00000000" w:rsidDel="00000000">
              <w:rPr>
                <w:rtl w:val="0"/>
              </w:rPr>
              <w:t xml:space="preserve"> Trupe un bojātas saknes vēl neliecina par bīstamību. Minētajā uzskaitījumā jāizvairās no neviennozīmīgu piemēru uzskaites. Izziņā ZM atsaucas uz Aizsargjoslu likumu, tomēr minētajā punktā pazīmes attiecināmas uz elektroinstalācijām, nevis visiem gadījumiem. Pievienojamies LPS, ka bīstams koks ir koks ar būtiskiem bojājumiem – iztrupējis (vairāk nekā 80 %), aizlūzis, sašķelts, būtiski sasvēries, ar aprautu vai paceltu sakņu sistēmu, pilnīgi izgāzies vai ar citām pazīmēm, kas būtiski ietekmē tā mehānisko noturību.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5.5.apakšpunktā minētajā gadījumā nocērtamo koku fotografē vismaz no trijiem skatu punktiem tā, lai būtu skaidri redzamas drošību ietekmējošās koka daļas vai citas pazīmes (piemēram, pacelta vai aprauta lielākā daļa sakņu sistēmas, sašķelts, aizlūzis, iztrupējis (vairāk nekā 80 %) vai nolūzis stumbrs, koks, kas ir augstāks par attālumu no koka sakņu kakla līdz infrastruktūras objektam ir sasvēries no vertikālās ass uz infrastruktūras objekta pusi vairāk par 15 ⁰).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30.01.2026.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