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"Vienotas prasības azartspēļu organizēšanas vietas publiskās ārtelpas un skatlogu noformējumam, kā arī atļauto tekstu vai grafisko elementu izmantošanu preču zīmju un izkārtņu veidošanā,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Evikas Siliņas vadītā Ministru kabineta iecerēto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punkts nosaka: Panāksim veselīgi nodzīvoto mūža dzīves gadu pieaugumu Latvijas sabiedrībā, tajā skaitā sekmējot aktīvu dzīvesveidu. Modernizēsim sporta nozari, piedāvājot sporta izglītības finansēšanas modeli, kas sniedz plašākas iespējas bērniem un jauniešiem, kā arī sniegsim iespēju attīstīt profesionālo klubu sistēmu atbilstoši starptautiskajām tendencēm. Pēc skaidriem un caurskatāmiem kritērijiem atbalstīsim augstu sasniegumu sportu, tai skaitā olimpisko un paraolimpisko kustību.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Iepriekšējās valdības rīcības plāna 171.1. punkts nosaka: Izstrādāt priekšlikumus sporta nozares finansēšanas modeļa pilnveidei, paplašinot sporta nozares finansēšanas avotus (tai skaitā izmantojot nodokļu politikas instrumentus, kā arī ieviešot sporta loteriju).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31. maija rīkojuma Nr. 397 “Par Sporta politikas pamatnostādnēm 2022.-2027. gadam” (turpmāk – Sporta pamatnostādne) “1. Rīcības virziena: Sporta nozares finansēšanas un administratīvās pārvaldības modeļa pilnveide” 1.4. Veikt izvērtējumu par paplašinātām iespējām sporta nozarei piesaistīt papildu finansēšanas avotus no plānotajiem kārtējā gada valsts budžeta ieņēmumiem, piemēram, no akcīzes nodokļa par alkoholiskajiem dzērieniem un tabakas izstrādājumiem, ieņēmumiem no izložu nodokļa un azartspēļu nodokļa, kā arī veicināt privātā kapitāla finansēšanas avotu piesaisti sporta nozarei un izvērtēt Valsts sporta fonda izveides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aicinām papildināt Likumprojektu ar grozījumiem Azartspēļu un izložu likuma 41. panta piektajā daļā,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interaktīvo azartspēļu organizēšanas vietņu reklāma ir aizliegta ārpus azartspēļu organizēšanas vietām, izņemot atzīto sporta federāciju rīkoto pieaugušo sacensību norises vietās, pieaugušo sacensību un sporta klubu nosaukumos, uz pieaugušo sacensību dalībnieku sporta formām un atribūtikas.  Azartspēļu organizēšanas vietās un šī pantā noteikto izņēmumu gadījumos atļauts norādīt tikai azartspēļu vietas nosaukumu, darbības jomu un azartspēļu organizētāja reģistrētu preču zīmi. Preču zīme un informācija nedrīkst ietver aicinājumu piedalīties azartspēlēs vai apmeklēt azartspēļu norises vietu, kā arī informāciju, kas var radīt iespaidu, ka azartspēļu spēlēšana palielina sociālos panākumus.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Šteinbergs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veidot starpresoru darba grupu ar mērķi izstrādāt nepieciešamos likumprojektu un normatīvo regulējumu grozījumus un mehānismus sporta politikas pamatnostādnēs 2022.-2027.gadam izvirzīto uzdevumu par papildus finansēšanas avotu piesaistes risināšanai, godīgas spēles, drošās vides un ētikas normu ievērošanas un uzraudzības  mehānisma izveidei.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Šteinbergs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11.10.2023. 23.17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11.10.2023. 23.17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