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07.09.2021. noteikumu Nr. 617 "Tiesību akta projekta sākotnējās ietekmes izvērtēšanas kārtība" 9.punktā ir jau noteikts, ka, izvērtējot tiesību akta sākotnējo ietekmi, vērtē tā ietekmi "uz vidi, tai skaitā uz klimatneitralitāti (9.11.). Tāpēc nav skaidrs, vai šīs normas nedublē jau pastāvošās tiesību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un enerģētikas ministrija sadarbībā ar Ekonomikas ministriju, Finanšu ministriju, Iekšlietu ministriju, Izglītības un zinātnes ministriju, Kultūras ministriju, Labklājības ministriju, Satiksmes ministriju, Veselības ministriju, Viedās administrācijas un reģionālās attīstības ministriju un Zemkopības ministriju ik pēc 10 gadiem sagatavo un Ministru kabinets apstiprina Eiropas Parlamenta un Padomes 2021. gada 30. jūnija (ES) regulas 2021/1119, ar ko izveido klimatneitralitātes panākšanas satvaru un groza regulas Nr. (ES) 401/2009 un (ES) 2018/1999, 5. panta 4. punktā noteikto nacionālo pielāgošanās klimata pārmaiņām ilgtermiņa attīstības plānošanas dokumentu (turpmāk – attīstības plānošanas dokuments) 10 gadu perspektīvā.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noteikto ministriju izvēles nosacījumi, jo nav iekļautas Aizsardzības un Tieslietu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kā arī atvasinātās publiskās personas integrē pielāgošanās klimata pārmaiņām politikas mērķus un pasākumus sektoru politikās.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noteikto ministriju izvēles nosacījumi, jo nav iekļautas Ekonomikas, Finanšu un Iekšlietu ministrijas.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likumprojekta 2.panta trešajā daļā noteikto, lūdzam anotācijā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kad Klimata un enerģētikas ministrija plāno izstrādāt metodiskas vadlīnijas valsts pārvaldes institūcijām saistībā ar SEG emisiju samazināšanas un pielāgošanās klimata pārmaiņām mērķu ieviešanu, to ieviešanas uzraudzību, ietekmes izvērtējumu un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plānots nodrošināt konsultatīvu un metodisku atbalstu iesaistītajām institūcijām šo mērķu sasniegšanai un attiecīgu rīcību un pasākumu identificēšanai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11. panta ceturtajā daļā ietverto regulējumu, kas paredz, ka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 lūdzam izvērtēt, vai efektīvāk nebūtu Ministru kabinetā pieņemt pasākuma vai investīcijas īstenošanas noteikumus (līdzīgi kā Eiropas Savienības fondu un Atveseļošanas fonda investīcijām) nevis projektu iesniegumu konkursu nolikumus. Aicinām attiecīgi precizēt likumprojekta 11.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