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9. novembra noteikumos Nr. 911 "Tirgus uzraudzības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padome atbilstoši nolikuma 1. punktam ir konsultatīva institūcija, kuras mērķis ir nodrošināt informācijas un viedokļu apmaiņu starp tirgus uzraudzības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Iekšlietu ministrija neveic tirgus uzraudzības funkcijas, kā arī noteikumu projekta anotācijā nav sniegts Tirgus uzraudzības padomes sastāva izmaiņu skaidrojums, kas pamatotu nepieciešamību iekļaut tajā Iekšlietu ministriju, svītrot Iekšlietu ministriju no projekta izpildē iesaistīto institūciju uzskaitījuma.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Iekšlietu ministrijas;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padome atbilstoši nolikuma 1. punktam ir konsultatīva institūcija, kuras mērķis ir nodrošināt informācijas un viedokļu apmaiņu starp tirgus uzraudzības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padomes galvenais uzdevums ir veicināt vienotu pieeju tirgus uzraudzībai, tirgus uzraudzības iestāžu sadarbību saistībā ar nedrošām precēm un pakalpojumiem, kā arī kompetences sadali starp dažādām tirgus uzraudzības iestādēm, lai nodrošinātu visu preču uzraudzību un novērstu funkciju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Iekšlietu ministrija neveic tirgus uzraudzības funkcijas, kā arī noteikumu projekta anotācijā nav sniegts Tirgus uzraudzības padomes sastāva izmaiņu skaidrojums, kas pamatotu nepieciešamību iekļaut tajā Iekšlietu ministriju, svītrot 6.2.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Padome lēmumus pieņem, atklāti balsojot, ar klātesošo padomes locekļu vienkāršu balsu vairākumu. Ja balsu skaits sadalās vienādi, izšķirošā ir padomes priekšsēdētāja balss.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 punkta redakciju, saskaņojot to ar 11.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11. punkts paredz balsošanas rezultāta noteikšanu pēc "padomes locekļa balss", savukārt 11.</w:t>
            </w:r>
            <w:r w:rsidR="00000000" w:rsidRPr="00000000" w:rsidDel="00000000">
              <w:rPr>
                <w:vertAlign w:val="superscript"/>
                <w:rtl w:val="0"/>
              </w:rPr>
              <w:t xml:space="preserve">1</w:t>
            </w:r>
            <w:r w:rsidR="00000000" w:rsidRPr="00000000" w:rsidDel="00000000">
              <w:rPr>
                <w:rtl w:val="0"/>
              </w:rPr>
              <w:t xml:space="preserve"> punkts paredz balsošanas rezultāta noteikšanu pēc "institūcijas balss", neatkarīgi no tās pārstāvju (padomes locekļu) skaita.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Kārtējās padomes sēdes priekšsēdētājs sasauc ne retāk kā reizi sešos mēnešos. Ārkārtas padomes sēdes padomes priekšsēdētājs sasauc pēc vismaz piecu padomes sastāvā esošo institūciju ierosinājuma.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piedāvāto redakciju, jo pirmšķietami vērojama nekonsekvence saistībā ar 9. un 11. punktā paredzēto regulējumu. Proti, padomes priekšsēdētājam un padomes locekļiem ir tiesības ierosināt padomes darba kārtības jautājumus, kā arī balsot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nav saprotams, kāpēc ārkārtas padomes sēdes sasaukšanai nepieciešams tieši pārstāvēto institūciju, nevis padomes locekļu noteiktais ierosinājumu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w:t>
    </w:r>
    <w:r>
      <w:br/>
    </w:r>
    <w:r w:rsidR="00000000" w:rsidRPr="00000000" w:rsidDel="00000000">
      <w:rPr>
        <w:rtl w:val="0"/>
      </w:rPr>
      <w:t xml:space="preserve">Izdrukāts 21.03.2023. 08.40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w:t>
    </w:r>
    <w:r>
      <w:br/>
    </w:r>
    <w:r w:rsidR="00000000" w:rsidRPr="00000000" w:rsidDel="00000000">
      <w:rPr>
        <w:rtl w:val="0"/>
      </w:rPr>
      <w:t xml:space="preserve">Izdrukāts 21.03.2023. 08.40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Atzinumi_23-TA-79.docx</dc:title>
</cp:coreProperties>
</file>

<file path=docProps/custom.xml><?xml version="1.0" encoding="utf-8"?>
<Properties xmlns="http://schemas.openxmlformats.org/officeDocument/2006/custom-properties" xmlns:vt="http://schemas.openxmlformats.org/officeDocument/2006/docPropsVTypes"/>
</file>