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un saskaņotību ar VUGD vadlīnijām, lūdzam precizēt Noteikumu projekta prasības par telpu pārbūvi vai atjaunošanu (Noteikumu projekta 14.punkts), pielāgojot tās III kategorijas patvertņu ierīkošanai, nodrošinot to atbilstību VUGD vadlīnijām: https://www.vugd.gov.lv/lv/vadlinijas-rekomendacijas-par-minimalajam-prasibam-iii-kategorijas-patvertnes-ierikosanai, vienlaikus neparedzot, ka prasības, kas piemērotas MK noteikumu ietvaros, ir stingrākas, nekā tas noteikts VUGD vadlīnijas (obligātie un vēlamie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pamatotus komentārus par izstrādāto MK noteikumu Projektu, tai skaitā pārrunātu neskaidros jautājumus, kas saistīti ar pielāgojamo objektu fukcionalitātes nodrošināšanu un atbilstību Valsts ugunsdzēsības un glābšanas dienesta (VUGD) vadlīnijām, LLPA ir aicinājusi uz diskusiju Iekšlietu ministrijas, VUGD  un Viedās administrācijas un reģionālās attīstības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plānota 02.04.2025. Vairāk iebildumus un/vai priekšlikumus LLPA sniegs pēc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Vienlīdzīgas attieksmes nodrošināšanai pret to pašvaldību iedzīvotājiem, kuru teritorijās vairums objektu, kurus iespējams pielāgot un aprīkot civilās aizsardzības mērķiem atbilstoši Vadlīnijām (rekomendācijām) par minimālajām prasībām III kategorijas patvertnes ierīkošanai (turpmāk – Vadlīnijas), atrodas cokola stāvos</w:t>
            </w:r>
            <w:r w:rsidR="00000000" w:rsidRPr="00000000" w:rsidDel="00000000">
              <w:rPr>
                <w:vertAlign w:val="superscript"/>
                <w:rtl w:val="0"/>
              </w:rPr>
              <w:t xml:space="preserve">1</w:t>
            </w:r>
            <w:r w:rsidR="00000000" w:rsidRPr="00000000" w:rsidDel="00000000">
              <w:rPr>
                <w:rtl w:val="0"/>
              </w:rPr>
              <w:t xml:space="preserve">, aicinām 5.1.1.9. pasākuma “Objektu (patvertņu) pielāgošana un aprīkošana civilās aizsardzības mērķiem” ietvaros aicinām prioritāri nesniegt atbalstu būvēm, kas atrodas pagraba vai pazemes stāvos, bet visām būvēm, kuru telpas iespējams pielāgot patvertnēm un aprīkot civilās aizsardzības mērķiem atbilstoši Vadlīnijām, neatkarīgi no objekta stāva.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5. punktu,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Pasākuma ietvaros tiek atbalstīti Ministru kabineta rīkojumā par civilās aizsardzības mērķiem pielāgojamajiem un aprīkojamajiem objektiem (patvertnēm) (turpmāk - Ministru kabineta rīkojums) ietvertie objekti, </w:t>
            </w:r>
            <w:r w:rsidR="00000000" w:rsidRPr="00000000" w:rsidDel="00000000">
              <w:rPr>
                <w:i w:val="1"/>
                <w:u w:val="single"/>
                <w:rtl w:val="0"/>
              </w:rPr>
              <w:t xml:space="preserve">kurus plāno izveidot dažādu būvju pagrabstāvos vai pazemes stāvos, kā arī cokola stāvos atbilstoši Vadlīnijām (rekomendācijām) par minimālajām prasībām III kategorijas patvertnes ierīkošanai, kas izdotas pamatojoties uz Civilās aizsardzības un katastrofas pārvaldīšanas likuma 9. panta piekto daļu.</w:t>
            </w:r>
            <w:r w:rsidR="00000000" w:rsidRPr="00000000" w:rsidDel="00000000">
              <w:rPr>
                <w:i w:val="1"/>
                <w:rtl w:val="0"/>
              </w:rPr>
              <w:t xml:space="preserve"> Ministru kabineta rīkojumā norāda informāciju par projekta iesniedzēju, atbalstāmajiem objektiem, Eiropas Reģionālās attīstības fonda finansējumu un sasniedzamajām iznākuma rādītāja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atbalstīta pieeja, ka cokola stāva objekti var tikt atbalstīti patvertņu izveidei, aicinām palielināt objektam pieejamo atbalsta finansējuma apjomu nepieciešamo papildu būvdarbu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pārvērtēt Vadlīnijās noteikto platības ierobežojumu – 0,75 m</w:t>
            </w:r>
            <w:r w:rsidR="00000000" w:rsidRPr="00000000" w:rsidDel="00000000">
              <w:rPr>
                <w:vertAlign w:val="superscript"/>
                <w:rtl w:val="0"/>
              </w:rPr>
              <w:t xml:space="preserve">2</w:t>
            </w:r>
            <w:r w:rsidR="00000000" w:rsidRPr="00000000" w:rsidDel="00000000">
              <w:rPr>
                <w:rtl w:val="0"/>
              </w:rPr>
              <w:t xml:space="preserve"> uz vienu personu, ņemot vērā, ka šāda platība ir nepietiekama personai, kurai veselības un funkcionālo traucējumu dēļ ir pastāvīgs gultas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Cokola stāvs – ēkas stāvs vai tā daļa, kas attiecībā pret planēto zemes līmeni iedziļināts ne vairāk kā par pusi no telpas augstuma (Ministru kabineta 2021. gada 19. oktobra noteikumi Nr. 693 "Būvju vispārīgo prasību būvnormatīvs LBN 200-21").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noteiktais iznākuma rādītājs ir sasniegts, kad tiek pabeigtas projektā paredzētās esošu telpu pārbūves vai atjaunošanas un aprīkošanas darbības un ir saņemts Valsts ugunsdzēsības un glābšanas dienesta atzinums par objekta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dotajā brīdī nav pieejams normatīvais dokuments, kas noteiktu, pēc kādām konkrētām prasībām VUGD vērtēs patvertņu gatavību un izsniegs pozitīvu atzinumu par objekta atbilstību III kategorijas patvertnes prasībām, un attiecīgi pašvaldības nav informētas par minimālajām prasībām, kas būtu jāizpilda, lūdzam nepieciešamības gadījumā grozīt vai dzēst šo prasību no Noteikumu projekta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nosaka būtiskākos nosacījumus, kas jāņem vērā, izveidojot III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un nepārprotamai prasību izpratnei un Noteikumu projekta sasaistei ar Vadlīnijām rosinām precizēt Noteikumu projekta 14.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Objekta atbilstību III kategorijas patvertnes prasībām nodrošina, izpildot vismaz </w:t>
            </w:r>
            <w:r w:rsidR="00000000" w:rsidRPr="00000000" w:rsidDel="00000000">
              <w:rPr>
                <w:i w:val="1"/>
                <w:u w:val="single"/>
                <w:rtl w:val="0"/>
              </w:rPr>
              <w:t xml:space="preserve">obligātos ieviešanas nosacījumus, kas norādīti Vadlīnijās (rekomendācijās) par minimālajām prasībām III kategorijas patvertnes ierīkošanai</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iesnieguma pamatojošās dokumentācijas sagatavošanas izmaksas (izņemot projekta iesnieguma veidlapas aizpildīšanas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nereti ekspertīze un/vai izpēte ir priekšnosacījumus būvprojekta, būvniecības ieceres dokumentācijas vai būvprojektu minimālā sastāvā izstrādei, rosinām paplašināt tiešo attiecināmo izmaksu tvērumu un papildināt Noteikumu projekta 24.2. apakšpunktu ar jaunu apakšpunktu,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“24.2.3.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24.4.2. 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“24.4.2. telpu vai telpu grupu ieejas durvju, lūku un citu evakuācijas ceļu risinājumu izveide vai esošo aizvietošana ar tādiem, kas ir ugunsnoturīgi/ugunsizturīgi vai veidoti no ugunsdrošiem materiāliem, tai skaitā būvniecība, kas nodrošina ārēja sprādziena triecienviļņa ietekmes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savlaicīgi nodrošinātu nepieciešamos priekšdarbus un plānoto līdzfinansējuma apmēru objektu pielāgošanai patvertnei, lūdzam sniegt informāciju, kā plānots organizēt pasākumu – būs viena vai vairākas atlases?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veida drošības apstākļi ir domāti Noteikumu projekta projekta 14.1. apakšpunktā, piemēram, ugunsdrošības, kiberdrošības, veselības un vides drošības u.c. Šāda precizēšana palīdzētu skaidri saprast, kādi drošības pasākumi jāievēro, veidojot un aprīkojot patvertnes, kā arī nodrošinātu vienotu normatīvo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sienas un griesti veidoti no dzelzsbetona, blokiem vai citiem izturīgiem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materiāla blokiem jābūt, lai izpildītu Noteikumu projekta 14.1.2. apakšpunktā minēto, piemēram, vai tie ir betona, ķieģeļu vai citi konkrēti materiāli.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ieejas durvis izgatavotas no ugunsdrošiem materiāliem (piemēram, no dzelzs);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Noteikumu projekta 14.2.3. apakšpunktā precizēt ugunsizturības pakāpi ieejas durvīm. Parastas metāla durvis viegli kūst augstu temperatūru ietekmē, kas var apdraudēt patvertņu drošību. Turklāt, vadlīnijās no VUGD tiek norādīts, ka </w:t>
            </w:r>
            <w:r w:rsidR="00000000" w:rsidRPr="00000000" w:rsidDel="00000000">
              <w:rPr>
                <w:i w:val="1"/>
                <w:rtl w:val="0"/>
              </w:rPr>
              <w:t xml:space="preserve">“2.2. Patvertnes ieejām jābūt noslēgtām, lai mazinātu dūmu, putekļu un citu piesārņotāju iekļūšanu. Ieejas durvīm jābūt izgatavotām no nedegošiem materiāliem.”.</w:t>
            </w:r>
            <w:r w:rsidR="00000000" w:rsidRPr="00000000" w:rsidDel="00000000">
              <w:rPr>
                <w:rtl w:val="0"/>
              </w:rPr>
              <w:t xml:space="preserve"> Tādējādi būtu jāprecizē, kādi konkrēti materiāli un ugunsizturības prasības tiek attiecināmas uz ieejas durvīm, lai nodrošinātu atbilstību drošības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vadlīnijās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“Obligātie ieviešanas nosacījumi</w:t>
            </w:r>
            <w:r w:rsidR="00000000" w:rsidRPr="00000000" w:rsidDel="00000000">
              <w:rPr>
                <w:i w:val="1"/>
                <w:rtl w:val="0"/>
              </w:rPr>
              <w:t xml:space="preserve">3.1. Patvertni aprīko ar elektrību un autonomu apgaismojumu, kas kalpo par avārijas apgaismojumu elektroenerģijas padeves pārtraukumu gadījumā.</w:t>
            </w:r>
            <w:r w:rsidR="00000000" w:rsidRPr="00000000" w:rsidDel="00000000">
              <w:rPr>
                <w:i w:val="1"/>
                <w:rtl w:val="0"/>
              </w:rPr>
              <w:t xml:space="preserve">Vēlamie ieviešanas nosacījumi:</w:t>
            </w:r>
            <w:r w:rsidR="00000000" w:rsidRPr="00000000" w:rsidDel="00000000">
              <w:rPr>
                <w:i w:val="1"/>
                <w:rtl w:val="0"/>
              </w:rPr>
              <w:t xml:space="preserve">3.9. Patvertni var aprīkot ar tehnisku risinājumu, lai elektroenerģijas pārtraukuma gadījumā (ģenerators, akumulatori  u.c.), būtu iespējams nodrošināt apgaismojuma, ventilācijas, ūdens un siltuma apgādes darbību, elektroiekārtu uzlādes iespējas u.c. (skatīt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VUGD vadlīnijās noteikto, kad patvertnes var aprīkot, piemēram, ar tādiem gaismas ķermeņiem, kuriem ir iestrādāts akumulators, kas nodrošina apgaismojumu noteiktu laika posmu, piemēram, vēl 6 stundas, lūdzam veikt precizējumus Noteikumu projekta 24.4.1. apakšpunktā, nosakot, cik lielā apjomā, kādām telpām vai kādiem objektiem ir jāparedz autonomā elektroenerģija. Tādējādi var veidoties situācija, ka par pilnīgi autonomu padara tādu telpu, kurai šāds aprīkojums nav vajadzīgs un naudas līdzekļi netiek ieguldīti jēgpilni.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31.03.2025.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31.03.2025.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