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Zvejas produktu ražotāju organizāciju, akvakultūras produktu ražotāju organizāciju un starpnozaru organizāciju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ir kompetentā iestāde, kas pieņem lēmumu par ražotāju organizāciju un starpnozaru organizāciju atzīšanu atbilstoši regulas Nr. </w:t>
            </w:r>
            <w:r w:rsidR="00000000" w:rsidRPr="00000000" w:rsidDel="00000000">
              <w:rPr>
                <w:rtl w:val="0"/>
              </w:rPr>
              <w:t xml:space="preserve">1379/2013</w:t>
            </w:r>
            <w:r w:rsidR="00000000" w:rsidRPr="00000000" w:rsidDel="00000000">
              <w:rPr>
                <w:rtl w:val="0"/>
              </w:rPr>
              <w:t xml:space="preserve"> 14. un 16. pantam, kā arī 2013. gada 17. decembra Komisijas Īstenošanas regulas (ES) Nr. </w:t>
            </w:r>
            <w:r w:rsidR="00000000" w:rsidRPr="00000000" w:rsidDel="00000000">
              <w:rPr>
                <w:rtl w:val="0"/>
              </w:rPr>
              <w:t xml:space="preserve">1419/2013</w:t>
            </w:r>
            <w:r w:rsidR="00000000" w:rsidRPr="00000000" w:rsidDel="00000000">
              <w:rPr>
                <w:rtl w:val="0"/>
              </w:rPr>
              <w:t xml:space="preserve"> par ražotāju organizāciju un starpnozaru organizāciju atzīšanu, ražotāju organizāciju un starpnozaru organizāciju noteikumu paplašināšanu un sliekšņa cenu publicēšanu saskaņā ar Eiropas Parlamenta un Padomes Regulu (ES) Nr. 1379/2013 par zvejas un akvakultūras produktu tirgu kopīgo organizāciju (turpmāk – regula Nr. </w:t>
            </w:r>
            <w:r w:rsidR="00000000" w:rsidRPr="00000000" w:rsidDel="00000000">
              <w:rPr>
                <w:rtl w:val="0"/>
              </w:rPr>
              <w:t xml:space="preserve">1419/2013</w:t>
            </w:r>
            <w:r w:rsidR="00000000" w:rsidRPr="00000000" w:rsidDel="00000000">
              <w:rPr>
                <w:rtl w:val="0"/>
              </w:rPr>
              <w:t xml:space="preserve"> ) 2. un 4.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saskaņošanas ietvaros svītrots lietotā saīsinājuma "dienests" atšifrējums. Ievērojot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Ražotāju organizācija vai starpnozaru organizācija, kas pretendē uz atzīšanu, iesniedz dienestā papīra vai elektroniskā formā, ievērojot normatīvajos aktos par elektronisko dokumentu noformēšanu noteiktās prasības, atzīšanas pieteikuma veidlapu  saskaņā ar regulas Nr.</w:t>
            </w:r>
            <w:r w:rsidR="00000000" w:rsidRPr="00000000" w:rsidDel="00000000">
              <w:rPr>
                <w:rtl w:val="0"/>
              </w:rPr>
              <w:t xml:space="preserve">1419/2013</w:t>
            </w:r>
            <w:r w:rsidR="00000000" w:rsidRPr="00000000" w:rsidDel="00000000">
              <w:rPr>
                <w:rtl w:val="0"/>
              </w:rPr>
              <w:t xml:space="preserve"> I pielikuma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56. panta pirmajai daļai iesniegumu administratīvās lietas ierosināšanai iestādē var iesniegt mutvārdos vai rakstveidā, arī elektroniski bez droša elektroniska paraksta, ja iestāde nodrošina, ka fiziskās personas identitāte ir pārbaudīta saskaņā ar Fizisko personu elektroniskās identifikācijas likumu. Norādām, ka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6. un 7. punktā norādi uz to, ka tajos minētos dokumentus iesniedz attiecīgajā iestādē papīra vai elektroniskā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60 dienu laikā pēc tā saņemšanas. Ja dienests, izvērtējot gada ziņojumu, konstatē, ka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ražošanas un tirdzniecības plānā paredzētie rādītāji ir sasniegti  mazāk nekā 10 procentu apmērā, dienests ir tiesīgs lemt par šādas ražotāju organizācijas atzīšanas atsaukšanu.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64. panta pirmajai daļai, ja administratīvā lieta ierosināta uz iesnieguma pamata, </w:t>
            </w:r>
            <w:r w:rsidR="00000000" w:rsidRPr="00000000" w:rsidDel="00000000">
              <w:rPr>
                <w:b w:val="1"/>
                <w:rtl w:val="0"/>
              </w:rPr>
              <w:t xml:space="preserve">iestāde pieņem lēmumu par administratīvā akta izdošanu viena mēneša laikā no iesnieguma saņemšanas dienas, ja likumā nav noteikts cits termiņš vai citā normatīvajā aktā – īsāks termiņš administratīvā akta izdošanai.</w:t>
            </w:r>
            <w:r w:rsidR="00000000" w:rsidRPr="00000000" w:rsidDel="00000000">
              <w:rPr>
                <w:rtl w:val="0"/>
              </w:rPr>
              <w:t xml:space="preserve"> Attiecīgi nav pieļaujams noteikumu projekta 9. punktā noteikt, ka noteikumu projekta 8. punktā minēto gada ziņojumu attiecīgā institūcija izvērtē </w:t>
            </w:r>
            <w:r w:rsidR="00000000" w:rsidRPr="00000000" w:rsidDel="00000000">
              <w:rPr>
                <w:b w:val="1"/>
                <w:rtl w:val="0"/>
              </w:rPr>
              <w:t xml:space="preserve">60 dienu laikā pēc tā saņemšanas</w:t>
            </w:r>
            <w:r w:rsidR="00000000" w:rsidRPr="00000000" w:rsidDel="00000000">
              <w:rPr>
                <w:rtl w:val="0"/>
              </w:rPr>
              <w:t xml:space="preserve">. Ievērojot minēto, lūdzam precizēt noteikumu projekta 9. punktā minēto gada ziņojuma izvērtēšanas termiņu atbilstoši Administratīvā procesa likuma 64.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gada ziņojumā iekļauto pasākumu izpildi izvērtē 60 dienu laikā pēc tā saņemšanas. Ja dienests, izvērtējot gada ziņojumu, konstatē, ka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ražošanas un tirdzniecības plānā paredzētie rādītāji ir sasniegti  mazāk nekā 10 procentu apmērā, dienests ir tiesīgs lemt par šādas ražotāju organizācijas atzīšanas atsaukšanu.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31. punktā ietverto iebildumu un lūdzam precizēt noteikumu projekta 9. punktu. Apzināmies, ka Eiropas Parlamenta un Padomes 2013. gada 11. decembra Regulas (ES) Nr. 1379/2013 par zvejas un akvakultūras produktu tirgu kopīgo organizāciju un ar ko groza Padomes Regulas (EK) Nr. 1184/2006 un (EK) Nr. 1224/2009 un atceļ Padomes Regulu (EK) Nr. 104/2000 (turpmāk - regula Nr. 1379/2013) 28. panta 7. punkts nosaka tiesības, bet ne pienākumu atsaukt ražotāju organizācijas atzīšanu, tomēr šādas tiesības minētā regula nosaka neatbilstības konstatēšanas rezultātā, tātad jebkuras neatbilstības konstatēšanas rezultātā, neparedzot izņēmuma gadījumus, kad šādu neatbilstību varētu nekonstatēt. Skaidrojam, ka ar noteikumu projekta 9. punktu pēc būtības tiek precīzāk noteikti gadījumi, kad var konstatēt neatbilstību, ko regula Nr. 1379/2013 neparedz dalībvalstīm noteikt, un tādējādi tiek radīti šķēršļi regulas tiešai piemērošanai. Turklāt, ņemot vērā, ka atbilstoši minētās regulas 28. panta 1. punktā noteiktajam ražošanas un tirdzniecības plāni ir paredzēti, lai īstenotu šīs regulas 3. un 7. pantā izklāstītos mērķus, nav gūstama pārliecība, vai minēto mērķu sasniegšana var tikt pienācīgi nodrošināta, ja ražošanas un tirdzniecības plānā paredzētie rādītāji ir sasniegti, piemēram, 11 procentu apmērā u.tml. Tādējādi secināms, ka ar noteikumu projekta 9. punktā ietverto regulējumu varētu būt apdraudēta regulas Nr. 1379/2013 mērķu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22-TA-3133</w:t>
    </w:r>
    <w:r>
      <w:br/>
    </w:r>
    <w:r w:rsidR="00000000" w:rsidRPr="00000000" w:rsidDel="00000000">
      <w:rPr>
        <w:rtl w:val="0"/>
      </w:rPr>
      <w:t xml:space="preserve">Izdrukāts 05.01.2023.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22-TA-3133</w:t>
    </w:r>
    <w:r>
      <w:br/>
    </w:r>
    <w:r w:rsidR="00000000" w:rsidRPr="00000000" w:rsidDel="00000000">
      <w:rPr>
        <w:rtl w:val="0"/>
      </w:rPr>
      <w:t xml:space="preserve">Izdrukāts 05.01.2023.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Atzinumi_22-TA-3133.docx</dc:title>
</cp:coreProperties>
</file>

<file path=docProps/custom.xml><?xml version="1.0" encoding="utf-8"?>
<Properties xmlns="http://schemas.openxmlformats.org/officeDocument/2006/custom-properties" xmlns:vt="http://schemas.openxmlformats.org/officeDocument/2006/docPropsVTypes"/>
</file>