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veikt Eiropas Savienības valstī, Eiropas Ekonomikas zonas valstī, Šveices Konfederācijā un šo noteikumu </w:t>
            </w:r>
            <w:r w:rsidR="00000000" w:rsidRPr="00000000" w:rsidDel="00000000">
              <w:rPr>
                <w:rtl w:val="0"/>
              </w:rPr>
              <w:t xml:space="preserve">2.</w:t>
            </w:r>
            <w:r w:rsidR="00000000" w:rsidRPr="00000000" w:rsidDel="00000000">
              <w:rPr>
                <w:rtl w:val="0"/>
              </w:rPr>
              <w:t xml:space="preserve"> punktā minētās ārvalstīs izsniegtu izglītības dokumentu ekspertīzi piešķir augstskolai,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punktu par nepieciešamību augstkolai būt parakstījušai "Vienošanās par labu praksi ārvalstu studējošo piesaistē", ņemot vērā argumentāciju, kas, atsaucoties uz anotācijā norādīto brīvprātības principu iegūt tiesības veikt ārvalstīs iegūto izglītības dokumentu ekspertīzi, pieprasa augstskolu ievērot vienošanās nosacījumus, stratēģiski sekojot tās izvirzītajiem mērķiem, kas ir līdzvērtīgi tiesību iegūšanai. Ņemot vērā, ka iegūt tiesības augstskolas izvērtē pēc pieejamajiem resuriem, balstoties uz brīvprātības principa, uzsveram vienošanās saistošos mērķus saistībā ar integrācijas un starptautiskās sadarbības mērķiem, kas minētī arī šī tiesību akta saturā.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Augstskola ir parakstījusi "Vienošanās par labu praksi ārvalstu studējošo piesaistē"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Mačtama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par pēdējo piecu gadu laika posmu ir izstrādāta starptautiskās sadarbības vai internacionalizācijas stratēģija, vai tā ir iekļauta augstskolas kopējā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redakcijā iekļaut punktu arī par turpmākās piecu gadu laika posma izstrādātās stratēģijas pieejamību, izskatot tiesību piešķiršanu augstskolai veikt ārvalstīs iegūta izglītības dokumenta ekspertīzi, balstoties argumentācijā, ka tiesību piešķiršana kalpo par ilgtermiņa spēju augstākās izglītības iestādei veicināt internacionalizācijas un mobilitātes procesa pieejamību, turklāt tādējādi tiesību piešķīrējam tiek sniegta iespēja pārskatīt augstskolas internacionalizācijas un starptautiskās sadarbīas plānus turpmākajam termiņam, izvērtējot potenciālo sadarbības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pēdējo un turpmāko piecu gadu laika posmu ir izstrādāta starptautiskās sadarbības vai internacionalizācijas stratēģija, vai tā ir iekļauta augstskolas kopējā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Mačtama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22.08.2023.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22.08.2023.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