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20.5.</w:t>
            </w:r>
            <w:r w:rsidR="00000000" w:rsidRPr="00000000" w:rsidDel="00000000">
              <w:rPr>
                <w:rtl w:val="0"/>
              </w:rPr>
              <w:t xml:space="preserve"> apakšpunktā minētās atbalstāmās darbības īstenošanā projekta iesniedzējs kā sadarbības partneri paredz iesaistīt valsts pārvaldes iestādi, kura saskaņā ar normatīvajiem aktiem ir valsts izglītības un pārbaudījumu informācijas sistēmu pārzinis, - nozares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neradīt interešu konfliktu pašos projekta pamatos projekta sadarbības partnera statusā iesaistot projekta uzraugu.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Šo noteikumu </w:t>
            </w:r>
            <w:r w:rsidR="00000000" w:rsidRPr="00000000" w:rsidDel="00000000">
              <w:rPr>
                <w:rtl w:val="0"/>
              </w:rPr>
              <w:t xml:space="preserve">20.</w:t>
            </w:r>
            <w:r w:rsidR="00000000" w:rsidRPr="00000000" w:rsidDel="00000000">
              <w:rPr>
                <w:rtl w:val="0"/>
              </w:rPr>
              <w:t xml:space="preserve"> punktā minēto atbalstāmo darbību īstenošanai finansējuma saņēmējs plāno finansējumu, ievērojot šādus izmaksu apmērus: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27.1. – 27.2. punktu kopsumma ir vismaz 50 300 000, pārsniedzot noteikumu 7. punktā noteikto, ka Projekta iesniegumā pasākuma īstenošanai kopējo pieejamo finansējumu plāno ne vairāk kā 49 731 514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optimāls pašvaldību metodiķu slodzes apmērs ir 20 procenti uz 30 pedagogiem;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punktu izteikt redakcijā “ieteicamais pašvaldību metodiķu slodzes apmērs ir 20 procenti uz 30 pedagogiem.” Svarīgi paredzēt variācijas starp mācību priekšmetiem un jomām, jo nozīmīgi atšķiras mācību stundu un pedagogu skaits katrā mācību priekšmetā.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un attīstīt vienotu un stratēģiski pārraudzītu profesionālā atbalsta sistēmu valsts, pašvaldību un izglītības iestāžu līmenī mācību procesa kvalitātes pilnveidei vispārējā un profesionālā izglītībā, veicināt izglītojamo izcilību un nodrošināt metodiskā atbalsta materiālus pedagogiem.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MKN projekta 2. punktā nav ietverti visi MKN nosaukumā un Eiropas Savienības kohēzijas politikas programmas 2021. – 2027. gadam 4.2.2. specifiskā atbalsta mērķī noteiktie virzieni, tostarp neformālās (tai skaitā interešu izglītības) un formālās izglītības validēšanas formas, lai atbalstītu pamatkompetenču, kā piemēram uzņēmējdarbības un digitālo prasmju, apguvi, un sekmēt duālo mācību sistēmu un māceklības ieviešanu, ierosinām papildināt  MKN projekta 2. punktu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un attīstīt vienotu un stratēģiski pārraudzītu profesionālā atbalsta sistēmu valsts, pašvaldību un izglītības iestāžu līmenī mācību procesa kvalitātes pilnveidei vispārējā un profesionālā izglītībā, validējot mācību procesā gan formālās, gan neformālās izglītības (tostarp interešu izglītības) darba formas un metodes, veicināt izglītojamo nepieciešamo pamatkompetenču attīstību, izcilību un nodrošināt metodiskā atbalsta materiālus pedagogiem.”.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Nacionālie rādītāji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Izvirzīt reālistiskus termiņus darba kvalitatīvai paveikšanai, pārceļot nacionālajos rādītājos izvirzītos termiņus vismaz par gadu uz priekšu. Cenšoties iekļauties noteikumu projektā paredzētajos termiņos, cietīs profesionālās pilnveides pasākumu kvalitāte.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profesionālā atbalsta nodrošināšana visās mācību jomās vai mācību priekšmetos un izglītības darba īstenošanas aspektos vispārējā izglītībā pašvaldību līmenī, stiprinot profesionālā atbalsta īstenošanas praksi pašvaldībās un sadarbību ar profesionālās izglītības iestādēm vispārējās izglītības mācību satura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paplašināt MKN projekta 20. punkta atbalstāmās darbības, paredzot sadarbību arī ar interešu izglītības iestādēm, un attiecīgi MKN projekta 20.2. 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profesionālā atbalsta nodrošināšana visās mācību jomās vai mācību priekšmetos un izglītības darba īstenošanas aspektos vispārējā izglītībā pašvaldību līmenī, stiprinot profesionālā atbalsta īstenošanas praksi pašvaldībās un sadarbību ar profesionālās izglītības iestādēm, interešu izglītības iestādēm, neformālās izglītības iestādēm un augstskolām vispārējās izglītības mācību satura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20.6.1. izglītojoši, sadarbības un tīklošanās pasākumi izglītojamo talantu attīstībai, tai skaitā praktiskas ievirzes pasākumi izglītojamo talantu un zināšanu pilnveidošanai, nometnes un nodarbības valsts mācību priekšmetu olimpiāžu un zinātniskās pētniecības darbu konferences laureātiem zināšanu padziļināšanai un pilnveidošanai;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20.6.1. punktu šādi: “ieteicamā valsts mācību priekšmetu olimpiāžu pirmā posma satura izstrāde un atbalsts valsts mācību priekšmetu olimpiāžu pirmā posma norisei”, mainot secīgo 20.6. punkta apakšpunktu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20.6.1. izglītojoši, sadarbības un tīklošanās pasākumi izglītojamo talantu attīstībai, tai skaitā praktiskas ievirzes pasākumi izglītojamo talantu un zināšanu pilnveidošanai, nometnes un nodarbības valsts mācību priekšmetu olimpiāžu un zinātniskās pētniecības darbu konferences laureātiem zināšanu padziļināšanai un pilnveidošanai;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MKN projekta 20.6.1. apakšpunktu, iekļaujot plašākas neformālās izglītības (tostarp interešu izglītības) darba formas,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“20.6.1. izglītojošas, sadarbības un tīklošanās aktivitātes izglītojamo talantu attīstībai, tai skaitā inovatīvas interešu izglītības programmas un praktiskas ievirzes pasākumi izglītojamo talantu pilnveidošanai un zināšanu padziļinātai apguvei, tajā skaitā, nometnes, nodarbības valsts mācību priekšmetu olimpiāžu, zinātniskās pētniecības darbu konferences laureātiem un citas aktivitātes vispārējās izglītības obligātā satura padziļinātai apguvei, pamatkompetenču attīstībai un zināšanu pilnveidošanai;”.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22.1.3. šo noteikumu </w:t>
            </w:r>
            <w:r w:rsidR="00000000" w:rsidRPr="00000000" w:rsidDel="00000000">
              <w:rPr>
                <w:rtl w:val="0"/>
              </w:rPr>
              <w:t xml:space="preserve">14.1.</w:t>
            </w:r>
            <w:r w:rsidR="00000000" w:rsidRPr="00000000" w:rsidDel="00000000">
              <w:rPr>
                <w:rtl w:val="0"/>
              </w:rPr>
              <w:t xml:space="preserve"> apakšpunktā minēto sadarbības partneru projekta īstenošanas personāla izmaksas (izņemot virsstundas) šo noteikumu </w:t>
            </w:r>
            <w:r w:rsidR="00000000" w:rsidRPr="00000000" w:rsidDel="00000000">
              <w:rPr>
                <w:rtl w:val="0"/>
              </w:rPr>
              <w:t xml:space="preserve">20.2.</w:t>
            </w:r>
            <w:r w:rsidR="00000000" w:rsidRPr="00000000" w:rsidDel="00000000">
              <w:rPr>
                <w:rtl w:val="0"/>
              </w:rPr>
              <w:t xml:space="preserve"> un </w:t>
            </w:r>
            <w:r w:rsidR="00000000" w:rsidRPr="00000000" w:rsidDel="00000000">
              <w:rPr>
                <w:rtl w:val="0"/>
              </w:rPr>
              <w:t xml:space="preserve">20.3.</w:t>
            </w:r>
            <w:r w:rsidR="00000000" w:rsidRPr="00000000" w:rsidDel="00000000">
              <w:rPr>
                <w:rtl w:val="0"/>
              </w:rPr>
              <w:t xml:space="preserve"> apakšpunktā minēto atbalstāmo darbību īstenošanai. Ja šo noteikumu </w:t>
            </w:r>
            <w:r w:rsidR="00000000" w:rsidRPr="00000000" w:rsidDel="00000000">
              <w:rPr>
                <w:rtl w:val="0"/>
              </w:rPr>
              <w:t xml:space="preserve">14.1.</w:t>
            </w:r>
            <w:r w:rsidR="00000000" w:rsidRPr="00000000" w:rsidDel="00000000">
              <w:rPr>
                <w:rtl w:val="0"/>
              </w:rPr>
              <w:t xml:space="preserve"> apakšpunktā minētā sadarbības partnera personāla iesaiste šo noteikumu </w:t>
            </w:r>
            <w:r w:rsidR="00000000" w:rsidRPr="00000000" w:rsidDel="00000000">
              <w:rPr>
                <w:rtl w:val="0"/>
              </w:rPr>
              <w:t xml:space="preserve">20.2.</w:t>
            </w:r>
            <w:r w:rsidR="00000000" w:rsidRPr="00000000" w:rsidDel="00000000">
              <w:rPr>
                <w:rtl w:val="0"/>
              </w:rPr>
              <w:t xml:space="preserve"> un </w:t>
            </w:r>
            <w:r w:rsidR="00000000" w:rsidRPr="00000000" w:rsidDel="00000000">
              <w:rPr>
                <w:rtl w:val="0"/>
              </w:rPr>
              <w:t xml:space="preserve">20.3.</w:t>
            </w:r>
            <w:r w:rsidR="00000000" w:rsidRPr="00000000" w:rsidDel="00000000">
              <w:rPr>
                <w:rtl w:val="0"/>
              </w:rPr>
              <w:t xml:space="preserve"> apakšpunktā minēto atbalstāmo darbību īstenošanai ir nodrošināta saskaņā ar daļlaika attiecināmības principu, attiecināma ir ne mazāk kā 20 procentu noslodze, attiecināmajās izmaksās iekļaujot darbinieka darba algu un valsts sociālās apdrošināšanas obligātās iemaksas no apliekamajām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14.1. punktā minētajam sadarbības partneriem plānot arī  atlīdzības par 20.6.1. un 20.6.2. darbībām, jo tajās plānoti pasākumi novados.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20.3.</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22.10., 22.14. punktos minētās izmaksas attiecināmas arī uz 14.1. punktā minēto sadarbības partneri profesionālā atbalsta un profesionālās pilnveides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20.3.</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projektā  profesionālā atbalsta darbībai vienīgās attiecināmās izmaksas ir personāla atalgojums. Tas nozīmē, ka nav iespējams segt pieredzes apmaiņu vai citu līdzīgu pasākumu organizēšanas izmaksas. Papildināt visus pasākumu nodrošināšanas punktus, kur šobrīd ietverta tikai 20.3. darbība, arī ar 20.2.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transporta pakalpojuma izmaksas (maksa par degvielu, maksa par sabiedriskā transporta izmantošanu) šo noteikumu </w:t>
            </w:r>
            <w:r w:rsidR="00000000" w:rsidRPr="00000000" w:rsidDel="00000000">
              <w:rPr>
                <w:rtl w:val="0"/>
              </w:rPr>
              <w:t xml:space="preserve">​</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w:t>
            </w:r>
            <w:r w:rsidR="00000000" w:rsidRPr="00000000" w:rsidDel="00000000">
              <w:rPr>
                <w:rtl w:val="0"/>
              </w:rPr>
              <w:t xml:space="preserve"> apakšpunktā minēto atbalstāmo darbību īstenošanai finansējuma saņēmēja vadības un īstenošanas personālam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transporta pakalpojumu, komandējumu izmaksas arī 20.2. un 20.3. darbībām. Lai pasākumi, profesionālā pilnveide un sadarbība ar profesionālā atbalsta sistēmas spēlētājiem varētu notikt ne tikai Rīgā.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39.4. pašvaldība profesionālā atbalsta komandas izveidē pēc izvēles ievēro mācību priekšmetu vai mācību jomu principu;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punktu šādā redakcijā: “39.4. pašvaldība profesionālā atbalsta komandas izveidē pēc izvēles ievēro mācību priekšmetu vai mācību jomu un/vai izglītības darba īstenošanas aspektu principus vai to kombinācijas.”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28.05.2024. 22.30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28.05.2024. 22.30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