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23-TA-612: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3.1.prioritātes "Ilgtspējīga TEN-T infrastruktūra”  3.1.1.specifiskā atbalsta mērķa “Attīstīt ilgtspējīgu, pret klimatu izturīgu, inteliģentu, drošu un vairākveidu TEN-T infrastruktūru” 3.1.1.1.pasākuma “Dzelzceļa transporta attīstība un energoefektivitātes uzlabošana sabiedriskajos pasažieru pārvadājumos” un 3.1.1.3.pasākuma “Eiropas transporta tīklā esošās dzelzceļa infrastruktūras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Pirmās atlases kārtas ietvaros līdz 2029. gada 31. decembrim sasniedzami šādi uzraudzības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minēto "</w:t>
            </w:r>
            <w:r w:rsidR="00000000" w:rsidRPr="00000000" w:rsidDel="00000000">
              <w:rPr>
                <w:i w:val="1"/>
                <w:rtl w:val="0"/>
              </w:rPr>
              <w:t xml:space="preserve">Atbilstoši  VAS " Latvijas dzelzceļš" sniegtajai informācijai, abu posmoto projektu pabeigšana, funkcionalitāte un nodošana ekspluatācijā tiks nodrošināta līdz 2024.gada beigām.</w:t>
            </w:r>
            <w:r w:rsidR="00000000" w:rsidRPr="00000000" w:rsidDel="00000000">
              <w:rPr>
                <w:rtl w:val="0"/>
              </w:rPr>
              <w:t xml:space="preserve">", lūdzam izvērtēt nepieciešamību pirmās atlases kārtas ietvaros samazināt termiņu, līdz kuram sasniedzami posmoto projektu rādītāji.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Pirmās atlases kārtas 3.1.1.3.pasākuma ietvaros  kopējais attiecināmais finansējums ir ne lielāks kā 61 642 051  euro, tai skaitā Kohēzijas fonda finansējums 52 395 743  euro un nacionālais līdzfinansējums – ne mazāks kā 9 246 308 euro,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informāciju noteikumu projekta tekstā (13.punktā, 13.1. un 13.2.apakšpunktā, 14., 15., 16. un 17.punktā), skaidri norādot, ka nacionālo līdzfinansējumu veido privātais finansējums, ņemot vērā anotācijas 3.sadaļā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anotācijas 3.sadaļas "Tiesību akta projekta ietekme uz valsts budžetu un pašvaldību budžetiem" 6.punktā 3.1.1.3.pasākumam tabulā “Izmaksu sadalījums pa gadiem un finansējuma avotiem” atbilstoši noteikumu projektā paredzētajam precizēt ailē “Kopā” norādīto privātā finansējuma apmēru, kas ir 23 363 956 euro, un attiecīgi kopējās izmaksas 155 759 699 euro.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25.2.1. tās nepārsniedz 84 787 euro kalendārajā gadā, ja projekta tiešās attiecināmās izmaksas ir virs 5 000 000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ES fondu 2021.-2027.gada plānošanas perioda attiecināmo izmaksu noteikšanas nosacījumiem, piemērojot faktiskās izmaksas projektiem ar tiešajām attiecināmām izmaksām virs 5 milj. EUR, jāparedz maksimālais ierobežojums Eiropas Savienības fondu daļai tiešajām projekta vadības personāla izmaksām līdz 84 787 EUR kalendārajā gadā. Ņemot vērā minēto, lūdzam attiecīgi precizēt noteikumu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25.2.1. tās nepārsniedz 84 787 euro Kohēzijas fonda daļu kalendārajā gadā, ja projekta tiešās attiecināmās izmaksas ir virs 5 000 000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23-TA-612</w:t>
    </w:r>
    <w:r>
      <w:br/>
    </w:r>
    <w:r w:rsidR="00000000" w:rsidRPr="00000000" w:rsidDel="00000000">
      <w:rPr>
        <w:rtl w:val="0"/>
      </w:rPr>
      <w:t xml:space="preserve">Izdrukāts 04.04.2024. 16.15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23-TA-612</w:t>
    </w:r>
    <w:r>
      <w:br/>
    </w:r>
    <w:r w:rsidR="00000000" w:rsidRPr="00000000" w:rsidDel="00000000">
      <w:rPr>
        <w:rtl w:val="0"/>
      </w:rPr>
      <w:t xml:space="preserve">Izdrukāts 04.04.2024. 16.15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Atzinumi_23-TA-612.docx</dc:title>
</cp:coreProperties>
</file>

<file path=docProps/custom.xml><?xml version="1.0" encoding="utf-8"?>
<Properties xmlns="http://schemas.openxmlformats.org/officeDocument/2006/custom-properties" xmlns:vt="http://schemas.openxmlformats.org/officeDocument/2006/docPropsVTypes"/>
</file>