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25-TA-2327: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2009. gada 30. novembra noteikumos Nr. 1375 "Noteikumi par rūpnieciskās zvejas limitiem un to izmantošanas kārtību piekrastes ūdeņos"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fiziskajām un juridiskajām personām, ar kurām noslēgti rūpnieciskās zvejas tiesību nomas līgumi (turpmāk – zvejnieki), izvērtējot zvejas efektivitāti, iedala zvejas rīku skaitu un, ja tas ir noteikts Eiropas Savienības tiesību aktos un atbilst to prasībām, – mencu nozvejas apjomu. Citu zivju sugu (izņemot mencas tad, kad to paredz Eiropas Savienības tiesību akti) nozvejas apjomu atsevišķiem zvejniekiem rūpnieciskās zvejas tiesību nomas līguma protokolā nenorāda;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normatīvajos aktos pamattekstā atsauces pieļaujams izdarīt vienīgi uz tieši piemērojamiem Eiropas Savienības normatīvajiem tiesību aktiem (piemēram, regulām), lūdzam izvērtēt un atsauces uz Eiropas Savienības tiesību aktiem aizstāt ar atsaucēm uz tieši piemērojamiem Eiropas Savienības normatīvajiem aktiem. Kā arī lūdzam izvērtēt un aizpildīt noteikumu projekta anotācijas 5. sadaļu, skaidrojot tajā attiecīgo tiesību aktu ieviešanu ar noteikumu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vai Eiropas Savienības tiesību akti netiek ieviesti arī ar citām noteikumu projekta vienībām, piemēram, 3. punktu, nepieciešamības gadījumā attiecīgi papildinot minēto anotācijas sadaļu ar skaidrojumu par šo tiesību aktu ieviešanu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1</w:t>
            </w:r>
            <w:r w:rsidR="00000000" w:rsidRPr="00000000" w:rsidDel="00000000">
              <w:rPr>
                <w:rtl w:val="0"/>
              </w:rPr>
              <w:t xml:space="preserve"> Ja institūts, izvērtējot piekrastes pašvaldībām piešķirto, zvejniekiem iedalīto zvejas rīku apjomu pēdējo divu gadu laikā, konstatē, ka atbilstošajā pašvaldībā konkrēts zvejas rīku limits zvejniekiem ir iedalīts mazāk kā 60 procentu apjomā, tas ierosina Zemkopības ministrijai pārdalīt neiedalīto zvejas rīku limita daļu pašvaldībai vai pašvaldībām, kurās piešķirtie zvejas rīku limiti ir iedalīti vismaz 90 procentu apjomā un ir liels zvejnieku pieprasījums pēc šo zvejas rīku papildlimitiem. Zemkopības ministrija izvērtē un apkopo institūta iesniegtos priekšlikumus par zvejas rīku limita izmaiņām pašvaldībām un iesniedz Ministru kabinetā atbilstošu tiesību akta projektu par šo noteikumu </w:t>
            </w:r>
            <w:r w:rsidR="00000000" w:rsidRPr="00000000" w:rsidDel="00000000">
              <w:rPr>
                <w:rtl w:val="0"/>
              </w:rPr>
              <w:t xml:space="preserve">2.</w:t>
            </w:r>
            <w:r w:rsidR="00000000" w:rsidRPr="00000000" w:rsidDel="00000000">
              <w:rPr>
                <w:rtl w:val="0"/>
              </w:rPr>
              <w:t xml:space="preserve"> pielikumā noteiktā zvejas rīku skaita pamatlimita maiņu.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Zvejniecības likuma 11. panta 4.</w:t>
            </w:r>
            <w:r w:rsidR="00000000" w:rsidRPr="00000000" w:rsidDel="00000000">
              <w:rPr>
                <w:vertAlign w:val="superscript"/>
                <w:rtl w:val="0"/>
              </w:rPr>
              <w:t xml:space="preserve">1</w:t>
            </w:r>
            <w:r w:rsidR="00000000" w:rsidRPr="00000000" w:rsidDel="00000000">
              <w:rPr>
                <w:rtl w:val="0"/>
              </w:rPr>
              <w:t xml:space="preserve">, 4.</w:t>
            </w:r>
            <w:r w:rsidR="00000000" w:rsidRPr="00000000" w:rsidDel="00000000">
              <w:rPr>
                <w:vertAlign w:val="superscript"/>
                <w:rtl w:val="0"/>
              </w:rPr>
              <w:t xml:space="preserve">2</w:t>
            </w:r>
            <w:r w:rsidR="00000000" w:rsidRPr="00000000" w:rsidDel="00000000">
              <w:rPr>
                <w:rtl w:val="0"/>
              </w:rPr>
              <w:t xml:space="preserve">, 4.</w:t>
            </w:r>
            <w:r w:rsidR="00000000" w:rsidRPr="00000000" w:rsidDel="00000000">
              <w:rPr>
                <w:vertAlign w:val="superscript"/>
                <w:rtl w:val="0"/>
              </w:rPr>
              <w:t xml:space="preserve">3</w:t>
            </w:r>
            <w:r w:rsidR="00000000" w:rsidRPr="00000000" w:rsidDel="00000000">
              <w:rPr>
                <w:rtl w:val="0"/>
              </w:rPr>
              <w:t xml:space="preserve"> un 4.</w:t>
            </w:r>
            <w:r w:rsidR="00000000" w:rsidRPr="00000000" w:rsidDel="00000000">
              <w:rPr>
                <w:vertAlign w:val="superscript"/>
                <w:rtl w:val="0"/>
              </w:rPr>
              <w:t xml:space="preserve">4</w:t>
            </w:r>
            <w:r w:rsidR="00000000" w:rsidRPr="00000000" w:rsidDel="00000000">
              <w:rPr>
                <w:rtl w:val="0"/>
              </w:rPr>
              <w:t xml:space="preserve"> daļa jau nosaka valsts zinātniskā institūta "Pārtikas drošības, dzīvnieku veselības un vides zinātniskais institūts "BIOR"" (turpmāk - institūts) kompetenci kopējo nozvejas apjoma limitu, nozvejas apjoma limitu atsevišķām zivju sugām un zvejas rīku skaita limitu sadalījumā pa ūdenstilpēm Latvijas Republikas iekšējos ūdeņos un to izmantošanas kārtību, kā arī Baltijas jūras un Rīgas jūras līča piekrastes ūdeņos iedalāmo zvejas rīku skaita limitu vai nozvejas apjoma limitu, kas attiecas uz pašvaldībām, kuru administratīvās teritorijas robežojas ar šiem ūdeņiem, kā arī šo limitu izmantošanas kārtību, ievērojot šā panta ceturto daļu un saskaņā ar Eiropas Savienības zvejniecību regulējošiem tiesību aktiem, kā arī nepieciešamo Ministru kabineta normatīvo aktu izstrādāšanā.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atbilstoši Ministru kabineta 2009. gada 3. februāra noteikumu Nr. 108 "Normatīvo aktu projektu sagatavošanas noteikumi" 3.2. apakšpunktam normatīvā akta projektā neietver normas, kas dublē augstāka vai tāda paša spēka normatīvā akta tiesību normās ietverto normatīvo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lai izvairītos no atšķirīgas institūta kompetences interpretācijas, lūdzam svītrot noteikumu projekta 1.11.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Natālija Pīlipa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fiziskajām un juridiskajām personām, ar kurām noslēgti rūpnieciskās zvejas tiesību nomas līgumi (turpmāk – zvejnieki), izvērtējot zvejas efektivitāti, iedala zvejas rīku skaitu un, ja tas ir noteikts Eiropas Savienības tiesību aktos un atbilst to prasībām, – mencu nozvejas apjomu. Citu zivju sugu (izņemot mencas tad, kad to paredz Eiropas Savienības tiesību akti) nozvejas apjomu atsevišķiem zvejniekiem rūpnieciskās zvejas tiesību nomas līguma protokolā nenorāda;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atkārtotās atsauces uz Eiropas Savienības tiesību aktiem viennozīmīgi neizriet tas, vai šie tiesību akti paredz mencu nozvejas apjomu vai pienākumu, no kura izriet, ka nozvejas apjomu nenorāda nomas līguma protokolā, tādēļ lūdzam atbilstoši redakcionāli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25-TA-2327</w:t>
    </w:r>
    <w:r>
      <w:br/>
    </w:r>
    <w:r w:rsidR="00000000" w:rsidRPr="00000000" w:rsidDel="00000000">
      <w:rPr>
        <w:rtl w:val="0"/>
      </w:rPr>
      <w:t xml:space="preserve">Izdrukāts 26.11.2025. 17.51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25-TA-2327</w:t>
    </w:r>
    <w:r>
      <w:br/>
    </w:r>
    <w:r w:rsidR="00000000" w:rsidRPr="00000000" w:rsidDel="00000000">
      <w:rPr>
        <w:rtl w:val="0"/>
      </w:rPr>
      <w:t xml:space="preserve">Izdrukāts 26.11.2025. 17.51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Atzinumi_25-TA-2327.docx</dc:title>
</cp:coreProperties>
</file>

<file path=docProps/custom.xml><?xml version="1.0" encoding="utf-8"?>
<Properties xmlns="http://schemas.openxmlformats.org/officeDocument/2006/custom-properties" xmlns:vt="http://schemas.openxmlformats.org/officeDocument/2006/docPropsVTypes"/>
</file>