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26-TA-1902: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2026. gada 14. aprīļa noteikumos Nr. 204 "Kritēriji un kārtība, kādā valsts piedalās pedagogu darba samaksas finansēšanā vispārējās pamatizglītības un vispārējās vidējās izglītības pakāpē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"Reģionālo attīstības centru un novadu apvienība"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13.08.2026.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13.08.2026.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Paldies par veiktajiem precizējumiem, kas sniedz pašvaldībām lielāku elastību un laiku kvalitatīvi pielāgoties jaunajam pedagogu darba samaksas finansēšanas modelim.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ja noteikumi ir atvērti, joprojām saskatām atsevišķus riskus attiecībā uz Degurba iedalījumu un lūdzam labot atsevišķas nianses.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r w:rsidR="00000000" w:rsidRPr="00000000" w:rsidDel="00000000">
              <w:rPr>
                <w:b w:val="1"/>
                <w:rtl w:val="0"/>
              </w:rPr>
              <w:t xml:space="preserve"> </w:t>
            </w:r>
            <w:r w:rsidR="00000000" w:rsidRPr="00000000" w:rsidDel="00000000">
              <w:rPr>
                <w:rtl w:val="0"/>
              </w:rPr>
              <w:t xml:space="preserve">3. Degurba grupā 10.–12. klašu posmā samazināt minimālo izglītojamo skaitu no 120 uz 90.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Aptaujājot 3. grupā iekļautās Latgales pašvaldības, saņēmām atbildi, ka jau šobrīd 10.–12. klašu posmā noteikto minimālo izglītojamo skaitu novadu centros izdodas sasniegt tikai ar grūtībām. Ņemot vērā demogrāfiskās tendences un prognozējamo skolēnu skaita samazināšanos, tuvākajā perspektīvā 90 izglītojamie būtu optimāls, reālajai situācijai atbilstošs un sasniedzams slieksnis.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arī pārējās 3. Degurba grupā iekļautās RACA pašvaldības, kurās atrodas attiecīgās izglītības iestādes (ne tikai Latgales pašvaldības) norāda uz līdzīgu risku 10.–12. klašu posmā. Tāpēc aicinām pārvērtēt, cik samērīgi ir 3. grupā iekļautajām RACA pašvaldībām 10.–12. klašu posmā noteikt tādu pašu kvantitatīvo rādītāju kā Rīgas, Pierīgas un valstspilsētu pašvaldību izglītības iestādēm, ņemot vērā būtiski atšķirīgos demogrāfiskos, ģeogrāfiskos un sociālekonomiskos apstākļus, kuros darbojas šo pašvaldību izglītības iestādes.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ņemt vērā minētos argumentus un rast samērīgāku risinājumu, 3. Degurba grupā 10.–12. klašu posmā nosakot minimālo izglītojamo skaitu - 90.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atkārtoti izvērtēt pašvaldību administratīvi teritoriālo vienību iedalījumu grupās atsevišķām apdzīvotām vietām, par kuru atbilstību citai grupai norādīts jau arī iepriekš (Aizkraukle, Tukums u.c.)</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Sarma (RACA)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Kritēriji un kārtība, kādā valsts piedalās pedagogu darba samaksas finansēšanā vispārējās pamatizglītības un vispārējās vidējās izglītības pakāpē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Komentārs no Tukuma novada Izglītības pārvaldes: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Atbalstām grozījumus Ministru kabineta noteikumos Nr. 204 attiecībā uz tālmācības iespējām 10.–12. klašu posmā, kā arī nepieciešamību pārskatīt izglītības iestāžu pieejamību un skaitu jaunajā mācību 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aicinām tuvākajā nākotnē pārskatīt Degurbu jeb skolu tīkla izvērtēšanas kritērijus, lai pieņemtie lēmumi nesamērīgi neietekmētu priekšpilsētu skolas. Šo skolu situācija un nozīme vietējām kopienām ir jāvērtē atsevišķi, ņemot vērā to specifisko ģeogrāfisko novietojumu, skolēnu plūsmu un pieejamības jautājumus.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priekšpilsētu skolu dzīvotspēju un kvalitatīvas izglītības pieejamību, 7.–9. klašu posmā būtu nosakāms minimālais skolēnu skaits — 30 izglītojamie. Šāds risinājums palīdzētu saglabāt izglītības pieejamību tuvāk skolēnu dzīvesvietai un novērstu situāciju, kurā reorganizācijas vai optimizācijas rezultātā nepamatoti ciestu priekšpilsētu skolas.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Sarma (RACA)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26-TA-1902</w:t>
    </w:r>
    <w:r>
      <w:br/>
    </w:r>
    <w:r w:rsidR="00000000" w:rsidRPr="00000000" w:rsidDel="00000000">
      <w:rPr>
        <w:rtl w:val="0"/>
      </w:rPr>
      <w:t xml:space="preserve">Izdrukāts 13.08.2026. 23.33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26-TA-1902</w:t>
    </w:r>
    <w:r>
      <w:br/>
    </w:r>
    <w:r w:rsidR="00000000" w:rsidRPr="00000000" w:rsidDel="00000000">
      <w:rPr>
        <w:rtl w:val="0"/>
      </w:rPr>
      <w:t xml:space="preserve">Izdrukāts 13.08.2026. 23.33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Atzinumi_26-TA-1902.docx</dc:title>
</cp:coreProperties>
</file>

<file path=docProps/custom.xml><?xml version="1.0" encoding="utf-8"?>
<Properties xmlns="http://schemas.openxmlformats.org/officeDocument/2006/custom-properties" xmlns:vt="http://schemas.openxmlformats.org/officeDocument/2006/docPropsVTypes"/>
</file>