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 Ja aizsargātais lietotājs vērsies pašvaldībā, lai iegūtu šo noteikumu 17.3. apakšpunktā minēto izziņu, pašvaldībai ir pienākums apsekot pieslēdzamo objektu un gūt pārliecību par tā atbilstību šo noteikumu 4.3. apakšpunktā minētajam nosacījumam.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nepieciešams precizēt tekstā minēto punktu numerāciju atbilstoši aktuālajai noteikumu redakcijai - t.i., atsaucoties uz 18.3. un 3.3. apakšpunktiem.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Solveiga Siliņa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14.05.2024.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14.05.2024.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