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augstākās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prakse ne mazāk kā 30 kredītpunktu apjomā, kuru īsteno saskaņā ar šo noteikumu </w:t>
            </w:r>
            <w:r w:rsidR="00000000" w:rsidRPr="00000000" w:rsidDel="00000000">
              <w:rPr>
                <w:rtl w:val="0"/>
              </w:rPr>
              <w:t xml:space="preserve">26.</w:t>
            </w:r>
            <w:r w:rsidR="00000000" w:rsidRPr="00000000" w:rsidDel="00000000">
              <w:rPr>
                <w:rtl w:val="0"/>
              </w:rPr>
              <w:t xml:space="preserve"> punktu. Augstskola tās noteiktajā kārtībā var ieskaitīt prakses apjomā daļu no iepriekš īstenotās prakses apjoma, ja apgūstamā studiju programma, kuru īsteno pēc īsā cikla, pirmā cikla vai otrā cikla augstākās izglītības apguves, saskaņā ar Latvijas izglītības klasifikāciju, pārstāv to pašu tematisko jomu, kurā ietilpst jau apgūtā studiju programma;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49.2. apakšpunktā svītrot vārdus "vai otrā cikla", ņemot vērā to, ka pēc projekta precizēšanas projekta VIII nodaļa ietver regulējumu attiecībā uz studiju programmām, kuras īsteno pēc īsā cikla vai pirmā cikla augstākās izglītības apguves.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12.04.2023. 08.50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12.04.2023. 08.50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Atzinumi_22-TA-3777.docx</dc:title>
</cp:coreProperties>
</file>

<file path=docProps/custom.xml><?xml version="1.0" encoding="utf-8"?>
<Properties xmlns="http://schemas.openxmlformats.org/officeDocument/2006/custom-properties" xmlns:vt="http://schemas.openxmlformats.org/officeDocument/2006/docPropsVTypes"/>
</file>