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Ministru kabineta (turpmāk - MK) noteikumu projekta ietekmi uz ES fondu 2021.-2027.gada plānošanas perioda Uzraudzības komitejā apstiprinātajiem projektu iesniegumu vērtēšanas kritērijiem (vai ir/nav nepieciešami kritēriju grozījumi), ņemot vēra, ka tiek precizēts noteikumu 22.punkts, kas attiecas uz projektu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plānotajiem grozījumiem MK noteikumos Nr. 538 būs ietekme uz 4.3.1.3. pasākuma īstenošanā esošajiem pirmās projektu iesniegumu atlases kārtas pirmajā uzsaukumā apstiprinātajiem projektiem un vai būs nepieciešami grozījumi ar finansējuma saņēmējiem noslēgtajās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lūdzam precizēt finansiālo ietekmi uz pašvaldību budžetiem visiem gadiem (norādot to 15% apmērā no kopējām attiecināmajām izmaksām), attiecīgi precizējot arī anotācijas 3.sadaļas 3.3. un 5.3.apakšpunktus. Piemēram, ja 2025.gadā plānotais papildus ERAF finansējums ir 5 500 000 euro, tad pašvaldību līdzfinansējumam jābūt 970 588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2.punktā norādīto 2026.-2028.gada budžeta izdevumu kopsumma neveido 4.3.1.3. pasākumam “Sociālo mājokļu atjaunošana vai jaunu sociālo mājokļu būvniecība” kopējo plānoto finansējuma palielinājumu 21 750 000 euro apmērā, attiecīgi lūdzam veikt precizējumus. Vienlaikus punktā “Cita informācija” lūdzam sniegt informāciju par finansējuma palielinājuma avotu, norādot pasākumu no kura tiks veikta Eiropas Reģionālās attīstības fonda finansējuma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izsludināt pasākuma 2.kārtas projektu iesniegumu atlasi par kopējo atlasei paredzēto ERAF finansējumu (ar elastības finansējumu) un slēgt vienošanās par projektu īstenošanu pēc pozitīva Eiropas Komisijas lēmuma saņemšanas par grozījumiem Eiropas Savienības kohēzijas politikas programmā 2021.-2027. gadam (</w:t>
            </w:r>
            <w:r w:rsidR="00000000" w:rsidRPr="00000000" w:rsidDel="00000000">
              <w:rPr>
                <w:i w:val="1"/>
                <w:rtl w:val="0"/>
              </w:rPr>
              <w:t xml:space="preserve">Grozījumi Ministru kabineta 2021. gada 16. novembra rīkojumā Nr. 841 "Par Eiropas Savienības kohēzijas politikas programmu 2021.–2027. gadam"; 25-TA-321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protokollēmuma projekta 3.punktu, piemēram, šādā redakcijā, salāgojot ar redakciju, kas ir iestrādāta ES kohēzijas politikas programmas 2021.-2027.gadam grozījumu Nr.3 MK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kā Eiropas Savienības fondu sadarbības iestādei veikt 4.3.1.3. pasākuma "Sociālo mājokļu atjaunošana vai jaunu sociālo mājokļu būvniecība" 2.atlases kārtas projektu iesniegumu atlases ietvaros iesniegto projektu iesniegumu vērtēšanu un, pēc projektu iesniegumu apstiprināšanas, slēgt ar finansējuma saņēmējiem vienošanās par projektu īstenošanu otrās projektu iesniegumu atlases kārtai, tai skaitā, par ERAF elastības finansējumu ne vairāk kā 4 926 945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 gadam, Ekonomikas ministrijai sagatavot un Ekonomikas ministram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4.punktu, piemēram, šādā redakcijā, salāgojot ar redakciju, kas ir iestrādāta ES kohēzijas politikas programmas 2021.-2027.gadam grozījumu Nr.3 MK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saņemts pozitīvs Eiropas Komisijas lēmums par grozījumiem Programmā, kas skar 4.3.1.3. pasākuma otrās projektu iesniegumu atlases kārtas elastības finansējuma izmantošanu, Ekonomikas ministrijai sagatavot un iesniegt izskatīšanai Ministru kabinetā informatīvo ziņojumu par priekšlikumiem turpmākai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2025. gada 21. februārī Ministru prezidentes Evikas Siliņas paziņotās valdības 4x4 prioritātes 2025. gadam, ikgadējā ziņojumā Saeimai iekļauto apņemšanos 2025. gadā turpināt darbu pie birokrātijas mazināšanas pasākumiem ES fondu apguvē un publisko iepirkumu jomā, un 2024. gada 20. janvārī apstiprinātā Valsts rīcības plāna pasākuma 35.4. darbības rezultātu: pārskatītas un iespēju robežās mazinātas nacionālajos horizontālajos un specifisko atbalsta mērķu ieviešanu regulējošajos normatīvajos aktos noteiktās prasības, aicinām Ekonomikas ministriju pārskatīt 4.3.1.3.pasakuma normatīvo regulējumu un pēc iespējas mazināt finansējuma saņēmējam administratīvo slogu un atteikties no prasībām, kas nav noteiktas kā obligātas saskaņā ar ES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protokollēmuma projektu tiek paredzēts izsludināt pasākuma 2.kārtas atlasi arī par elastības finansējuma apjomu, lūdzam noteikumu MK noteikumu Nr.538 4.punktā paredzēt, ka 2.kārtas projektos kopsummā tiek sasniegts viss 2.kārtā noteiktais ES kohēzijas politikas programmas 2021.-2027.gadam iznākuma un rezultāta rādītāja apjoms. lūdzam atbilstoši precizēt noteikumu 4.1.1. un 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ne mazāks kā 82 650 001 </w:t>
            </w:r>
            <w:r w:rsidR="00000000" w:rsidRPr="00000000" w:rsidDel="00000000">
              <w:rPr>
                <w:i w:val="1"/>
                <w:rtl w:val="0"/>
              </w:rPr>
              <w:t xml:space="preserve">euro </w:t>
            </w:r>
            <w:r w:rsidR="00000000" w:rsidRPr="00000000" w:rsidDel="00000000">
              <w:rPr>
                <w:rtl w:val="0"/>
              </w:rPr>
              <w:t xml:space="preserve"> (no tā elastības finansējums – 13 035 996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11 080 598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1 955 398 </w:t>
            </w:r>
            <w:r w:rsidR="00000000" w:rsidRPr="00000000" w:rsidDel="00000000">
              <w:rPr>
                <w:i w:val="1"/>
                <w:rtl w:val="0"/>
              </w:rPr>
              <w:t xml:space="preserve">euro</w:t>
            </w:r>
            <w:r w:rsidR="00000000" w:rsidRPr="00000000" w:rsidDel="00000000">
              <w:rPr>
                <w:rtl w:val="0"/>
              </w:rPr>
              <w:t xml:space="preserve">), no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palielināts pasākumam plānotais finansējums, lūdzam papildināt anotāciju ar informāciju par abu kārtu un uzsaukumu finansējuma sadalījumu pa intervences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aizstājot ar aktuālo regulu - Eiropas Parlamenta un Padomes 2024.gada 23.septembra Regulu (ES, Euratom) 2024/2509 par finanšu noteikumiem, ko piemēro Savienības vispārējam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Nr. 538 40.2.apakšpunktā precizēt regulas atsauces,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40.10.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w:t>
            </w:r>
            <w:r w:rsidR="00000000" w:rsidRPr="00000000" w:rsidDel="00000000">
              <w:rPr>
                <w:rtl w:val="0"/>
              </w:rPr>
              <w:t xml:space="preserve">23.3.</w:t>
            </w:r>
            <w:r w:rsidR="00000000" w:rsidRPr="00000000" w:rsidDel="00000000">
              <w:rPr>
                <w:rtl w:val="0"/>
              </w:rPr>
              <w:t xml:space="preserve">un </w:t>
            </w:r>
            <w:r w:rsidR="00000000" w:rsidRPr="00000000" w:rsidDel="00000000">
              <w:rPr>
                <w:rtl w:val="0"/>
              </w:rPr>
              <w:t xml:space="preserve">23.4.</w:t>
            </w:r>
            <w:r w:rsidR="00000000" w:rsidRPr="00000000" w:rsidDel="00000000">
              <w:rPr>
                <w:rtl w:val="0"/>
              </w:rPr>
              <w:t xml:space="preserve"> apakšpunktā minēto atbalstāmo darbību īstenošanas rezultātā  izīrējamajos dzīvokļos papildus nodrošina, ka virtuve ir aprīkota ar iebūvēto virtuves iekārtu (virtuves skapīšiem un plīti).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finansējuma saņēmējam būtu skaidri definēti nosacījumi, aicinām šo noteikumu apakšpunktu izteikt šādā redakcijā "40.10. nodrošina, ka šo noteikumu 23.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Šo noteikumu 23.3.un 23.4. apakšpunktā minēto atbalstāmo darbību īstenošanas rezultātā izīrējamajos dzīvokļos papildus nodrošina, ka virtuve ir aprīkota ar iebūvēto virtuves iekārtu un iebūvētajām elektroiekārtām, kas nodrošina šīs telpas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Krumholce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02.04.2025.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02.04.2025.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Atzinumi_25-TA-378.docx</dc:title>
</cp:coreProperties>
</file>

<file path=docProps/custom.xml><?xml version="1.0" encoding="utf-8"?>
<Properties xmlns="http://schemas.openxmlformats.org/officeDocument/2006/custom-properties" xmlns:vt="http://schemas.openxmlformats.org/officeDocument/2006/docPropsVTypes"/>
</file>