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likumprojekts “Grozījumi likumā “Par zemes dzīlēm””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pantā paredzēto grozījumu likuma “Par zemes dzīlēm” (turpmāk – likums) 14. panta 8. punktā piedāvājam izvērtēt un precizēt. Vēršam uzmanību, ka derīgo izrakteņu ieguves vietas rekultivācijai atbilstoši likuma 1. panta 28. punktam jānotiek jebkurā gadījumā, bet projekta normā vārdus “ja zemes dzīļu izmantotājs nav ievērojis licences vai atļaujas nosacījumus vai derīgo izrakteņu ieguves projekta prasības” par pārkāpumu neizdarīšanu var interpretēt kā rekultivācijas pienākumu izslēdzošu nosacījumu. Tāpat arī kaitējuma nodarīšanu citu personu īpašumiem vai interesēm un civiltiesisku zaudējumu atlīdzināšanas pienākumu nevar saistīt ar licences vai atļaujas ievērošanas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paredzēto grozījumu likuma 16. panta piektajā daļā piedāvājam izvērtēt un precizēt vai no projekta izslēgt. Vēršam uzmanību, ka ar likumu nav jānosaka pašvaldību un valsts pārvaldes iestāžu sadarbības nosacījumi informācijas apmaiņas jomā. Jebkurai personai ir pienākums informēt kompetento iestādi par konstatētiem pārkāpumiem. Tādējādi šādai normai likumā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