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29. aprīļa noteikumos Nr. 242 "Satiksmes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Elektronisko sakaru likuma 4.panta otro daļu ir noteikti uzdevumi Satiksmes ministrijai, kuri jānodrošina atbilstoši kompetencei elektronisko sakaru nozarē. Likumdevējs nav noteicis Elektronisko sakaru likumā tiesību ministrijai noteiktos uzdevumus deleģēt privāto tiesību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anotāciju ar skaidrojumu, kas ir par tiesisko pamatu, lai Ministru kabinets būtu tiesisks noteikt (deleģēt) citu Elektronisko sakaru likuma 4.panta otro daļā noteikto uzdevumu izpildītāju.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06.09.2024.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06.09.2024.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Atzinumi_23-TA-380.docx</dc:title>
</cp:coreProperties>
</file>

<file path=docProps/custom.xml><?xml version="1.0" encoding="utf-8"?>
<Properties xmlns="http://schemas.openxmlformats.org/officeDocument/2006/custom-properties" xmlns:vt="http://schemas.openxmlformats.org/officeDocument/2006/docPropsVTypes"/>
</file>