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Noziedzīgi iegūtu līdzekļu legalizācijas un terorisma un proliferācijas finansēšanas novēršanas likuma subjekti pieprasa un saņem informāciju no valsts informācijas sistēmām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Lietotājiem ir tiesības iegūt šādu informāciju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normatīvā akta projekta, nedz no tā anotācijas nav skaidrības, kā šis datu izsniegšanas process atbilst Vispārējai datu aizsardzības regulai, īpaši tās datu minimizēšanas principam (https://www.gdprhandbook.eu/gdpr-principles?lang=lv), kā arī Eiropas Cilvēktiesību konvencijas 8.p., ES Pamattiesību hartas 7. un 8.p., Eiropas padomes 108/1981 konvencija attiecībā uz personas datu automātisku apstrādi. Tostarp vai Datu apmaiņas nodrošināšanas pakalpojums (DAGR) konkrētajā situācijā spēj nodrošināt niansētu fizisko personu datu izsniegšanu, piemēram no Sodu reģistra, ar ierobežojumiem (tostarp ekonomisko ievirzi, aktualitāti), kurus nosaka kā ieviešamā regula (tās mērķi, preambula), tā  Noziedzīgi iegūtu līdzekļu legalizācijas un terorisma un proliferācijas finansēšanas novēršanas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09.09.2026.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09.09.2026.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Atzinumi_26-TA-976.docx</dc:title>
</cp:coreProperties>
</file>

<file path=docProps/custom.xml><?xml version="1.0" encoding="utf-8"?>
<Properties xmlns="http://schemas.openxmlformats.org/officeDocument/2006/custom-properties" xmlns:vt="http://schemas.openxmlformats.org/officeDocument/2006/docPropsVTypes"/>
</file>