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par finansējuma pieejamību vienai ēkai, kas atbilstoši noteikumu projektam ir 154 892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kopējā plānotā 3.1.2.1.i. investīcijas pirmās kārtas pasākuma finansējuma pieaugumu no 7 000 000 euro uz 9 758 196 euro, līdz ar ko pieaug arī finansējums vienai ēkai no 111 000 euro uz </w:t>
            </w:r>
            <w:r w:rsidR="00000000" w:rsidRPr="00000000" w:rsidDel="00000000">
              <w:rPr>
                <w:b w:val="1"/>
                <w:rtl w:val="0"/>
              </w:rPr>
              <w:t xml:space="preserve">154 894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2022. gada 31. martam – to valsts un pašvaldību ēku izvēle, kurās jāveic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 līgumu slēgšanas tiesību piešķiršana, lai nodrošinātu piekļuvi publiskām telpām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2024. gada 31. decembrim – būvniecības pabeigšana, lai nodrošinātu piekļuvi publiskām telpām 63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novērst 7.1., 7.2. un 7.3.apakšpunktu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