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32. punkta apakšpunktos ir daļēji pārrakstīti Eiropas Komisijas 2014. gada 17. jūnija Regulas (ES) Nr. 651/2014, ar ko noteiktas atbalsta kategorijas atzīst par saderīgām ar iekšējo tirgu, piemērojot Līguma 107. un 108. pantu (turpmāk - Komisijas regula Nr. 651/2014) 25. panta 3. punkta apakšpunkti.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32. punkta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44.1.2.</w:t>
            </w:r>
            <w:r w:rsidR="00000000" w:rsidRPr="00000000" w:rsidDel="00000000">
              <w:rPr>
                <w:rtl w:val="0"/>
              </w:rPr>
              <w:t xml:space="preserve">,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finansējuma saņēmējs to ir sākotnēji paredzējis projekta iesniegumā un ir izpildīts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45. punkta apakšpunktos ir pārrakstīts Komisijas regula Nr. 651/2014 25. panta 6. punkta "b" apakšpunkts.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45. punktu un tā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44.1.2.</w:t>
            </w:r>
            <w:r w:rsidR="00000000" w:rsidRPr="00000000" w:rsidDel="00000000">
              <w:rPr>
                <w:rtl w:val="0"/>
              </w:rPr>
              <w:t xml:space="preserve">,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intensitāti – par 15 procentiem atbilstoši Komisijas regulas Nr. 651/2014 25. panta 6. punkta "b"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44.1.2.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finansējumu – par 25 procentiem saskaņā ar Komisijas regulas Nr. 651/2014 25. panta 6. punkta "d" apakšpunktu, ja finansējuma saņēmējs to ir paredzējis projekta iesniegumā un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46. punkta apakšpunktos ir pārrakstīts Komisijas regula Nr. 651/2014 25. panta 6. punkta "d" apakšpunkts.Vēršam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46. punktu un tā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44.1.2.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finansējumu – par 25 procentiem atbilstoši Komisijas regulas Nr. 651/2014 25. panta 6. punkta "d" apakšpunkta nosacījumiem, ja finansējuma saņēmējs to ir paredzējis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regulējums, kurā tiek noteiktas tiesības vienpusēji atkāpties no noslēgtā līguma par projekta īstenošanu kārtība, ir ārpus Eiropas Savienības fondu 2021.—2027. gada plānošanas perioda vadības likumā 19. panta 6. un 13. punktu noteiktā deleģējuma Ministru kabinetam. Pamatojoties uz minēto, lūdzam svītrot noteikumu projekta 66.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8.2. sadaļu ar informāciju par pasākuma 1.2.1.1.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https://www.lm.gov.lv/lv/vadlinijas-horizontala-principa-vienlidziba-ieklausana-nediskriminacija-un-pamattiesibu-ieverosana-istenosanai-un-uzraudzibai-2021-2027,skat.vadlīniju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HP vērtēšanas kritērija veidu, kurš tiks piemērots projektu iesniegumu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06.06.2024.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06.06.2024.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