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25-TA-1927: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kustamās mantas nodošanu bez atlīdzības Moldovas Republikai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Saskaņā ar Publiskas personas mantas atsavināšanas likuma 43.</w:t>
            </w:r>
            <w:r w:rsidR="00000000" w:rsidRPr="00000000" w:rsidDel="00000000">
              <w:rPr>
                <w:vertAlign w:val="superscript"/>
                <w:rtl w:val="0"/>
              </w:rPr>
              <w:t xml:space="preserve">1 </w:t>
            </w:r>
            <w:r w:rsidR="00000000" w:rsidRPr="00000000" w:rsidDel="00000000">
              <w:rPr>
                <w:rtl w:val="0"/>
              </w:rPr>
              <w:t xml:space="preserve">panta pirmo daļu atļaut Iekšlietu ministrijai (Valsts robežsardzes koledžai) nodot Moldovas Republikai (Iekšlietu ministrijas Robežpolicijas Ģenerālinspekcijai) bez atlīdzības šādu valsts kustamo mantu (kopējā bilances vērtība 1 200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divus vācu aitu šķirnes suņus;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divas pavadas automātiskās FLEXI GIANT XL;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divus boksus suņiem;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divas pavadas īsās;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divas pavadas garās;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divas bļodas suņiem metāla;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četrus kožamspilvenus;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divas vestes kinologam;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divas kakla siksnas XL;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divas kakla ķēdītes;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četras bumbas putu;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četras bumbas silikona;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četras bumbas putu ar virvīti;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divas suņu apmācības palīgierīces "Klikers";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astoņas suņu apmācības bumbas "KONG".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robežsardzes koledžai atbilstoši Ministru kabineta 2006. gada 25. jūlija noteikumu Nr. 618 "Kārtība, kādā valsts kustamo mantu nodod bez atlīdzības ārvalstu valdību un starpvalstu organizāciju īpašumā" 3. punktam sagatavot un nodrošināt līguma parakstīšanu par šajā rīkojumā minētās valsts kustamās mantas nodošanu bez atlīdzības Moldovas Republikas Iekšlietu ministrijas Robežpolicijas Ģenerālinspekcijai.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robežsardzes koledžai organizēt valsts kustamās mantas sagatavošanu nosūtīšanai, kā arī nodošanu Moldovas Republikas Iekšlietu ministrijas Robežpolicijas Ģenerālinspekcijai.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Ministru kabineta rīkojuma projektu, ievērojot TAP norādes attiecībā rīkojuma projekta punktu noformējumu.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informācija par nododamo kustamo mantu šobrīd ir gan Ministru kabineta rīkojuma projekta 1.punta apakšpunktos, gan kā Ministru kabineta rīkojuma projekta sākotnējās ietekmes (ex-ante) novērtējuma ziņojuma (anotācijas) pielikums, lūdzam izvērtēt un kustamās mantas sarakstu ietver Ministru kabineta rīkojuma pielikumā, un Ministru kabineta rīkojuma 1.punktā norādīt, ka tiek nodota kustamā manta saskaņā ar šā rīkojuma pielikumu (skatīt, piemēram, Ministru kabineta 2025.gada 11.jūnija rīkojums Nr.335: https://likumi.lv/ta/id/361122-par-valsts-kustamas-mantas-nodosanu-bez-atlidzibas-ukrainai).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Bērziņa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25-TA-1927</w:t>
    </w:r>
    <w:r>
      <w:br/>
    </w:r>
    <w:r w:rsidR="00000000" w:rsidRPr="00000000" w:rsidDel="00000000">
      <w:rPr>
        <w:rtl w:val="0"/>
      </w:rPr>
      <w:t xml:space="preserve">Izdrukāts 07.10.2025. 19.47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25-TA-1927</w:t>
    </w:r>
    <w:r>
      <w:br/>
    </w:r>
    <w:r w:rsidR="00000000" w:rsidRPr="00000000" w:rsidDel="00000000">
      <w:rPr>
        <w:rtl w:val="0"/>
      </w:rPr>
      <w:t xml:space="preserve">Izdrukāts 07.10.2025. 19.47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Atzinumi_25-TA-1927.docx</dc:title>
</cp:coreProperties>
</file>

<file path=docProps/custom.xml><?xml version="1.0" encoding="utf-8"?>
<Properties xmlns="http://schemas.openxmlformats.org/officeDocument/2006/custom-properties" xmlns:vt="http://schemas.openxmlformats.org/officeDocument/2006/docPropsVTypes"/>
</file>