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informāciju savā tīmekļvietnē par piešķirto atbalstu sešu mēnešu laikā no atbalsta piešķiršanas dienas atbilstoši regulai </w:t>
            </w:r>
            <w:r w:rsidR="00000000" w:rsidRPr="00000000" w:rsidDel="00000000">
              <w:rPr>
                <w:rtl w:val="0"/>
              </w:rPr>
              <w:t xml:space="preserve">2022/2472</w:t>
            </w:r>
            <w:r w:rsidR="00000000" w:rsidRPr="00000000" w:rsidDel="00000000">
              <w:rPr>
                <w:rtl w:val="0"/>
              </w:rPr>
              <w:t xml:space="preserve">, ievērojot tās 9. panta 1. punkta "c" apakšpunktā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32.2. apakšpunktu un precizēt tā redakciju, pēc iespējas izvairoties no regulas 9. panta 1. punkta "c" apakšpunktā un 3. punktā ietverto prasību pārrakstīšanas. 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ir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publicē savā tīmekļvietnē regulas 2022/2472 III pielikumā minēto informāciju saskaņā ar minētās regulas 9. panta 1. punkta "c" apakšpunktā un 3.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datus par piešķirto atbalstu glabā 10 gadus no dienas, kad ir piešķirts pēdējais atbalsts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apakšsadaļas 1. tabulu nodrošinot tajā pilnīgu un korektu Eiropas Savienības tiesību normu ieviešanas atspoguļojumu. Vēršam uzmanību, ka noteikumu projekta 32.3. apakšpunkts un 34. punkts faktiski ievieš Regulas 2022/2472 9. panta trešo punktu, ņemot vērā, ka no minētajiem noteikumu projekta punktiem izriet pienākums nodrošināt informācijas uzglabāšanu un pieejamību 10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anotācijas 1.3. apakšsadaļu un veikt nepieciešamos papildinājumus, nodrošinot, ka skaidrojums ir sniegts par visu paredzēto būtisko grozījumu nepieciešamību un mērķi. Vēršam uzmanību, ka, piemēram, nav skaidrots noteikumu projekta papildinājums ar jaunu 18. punktu un no tā izrietošā nepieciešamība piemērot tehnikas un iekārtu katalogu.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5.4. apakšsadaļu ar informāciju par to, vai ir izmantota Eiropas Savienības tiesību aktā paredzētā rīcības brīvība dalībvalstij ieviest noteiktas Eiropas Savienības tiesību akta normas, tostarp skaidrojot apsvērumus rīcības brīvības izmantošanai vai neizmantošanai. Vēršam uzmanību, ka noteikumu projektā ieviestie tiesību akti vairākos gadījumos satur rīcības brīvību,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77.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2022. gada 14. decembra Regula (ES) 2022/2472, ar kuru, piemērojot Līguma par Eiropas Savienības darbību 107. un 108. pantu, dažu kategoriju atbalstu lauksaimniecības un mežsaimniecības nozarē un lauku apvidos atzīst par saderīgu ar iekšējo tirgu 1.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24. jūnija Regulas(ES)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24-TA-1734</w:t>
    </w:r>
    <w:r>
      <w:br/>
    </w:r>
    <w:r w:rsidR="00000000" w:rsidRPr="00000000" w:rsidDel="00000000">
      <w:rPr>
        <w:rtl w:val="0"/>
      </w:rPr>
      <w:t xml:space="preserve">Izdrukāts 13.09.2024.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24-TA-1734</w:t>
    </w:r>
    <w:r>
      <w:br/>
    </w:r>
    <w:r w:rsidR="00000000" w:rsidRPr="00000000" w:rsidDel="00000000">
      <w:rPr>
        <w:rtl w:val="0"/>
      </w:rPr>
      <w:t xml:space="preserve">Izdrukāts 13.09.2024.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Atzinumi_24-TA-1734.docx</dc:title>
</cp:coreProperties>
</file>

<file path=docProps/custom.xml><?xml version="1.0" encoding="utf-8"?>
<Properties xmlns="http://schemas.openxmlformats.org/officeDocument/2006/custom-properties" xmlns:vt="http://schemas.openxmlformats.org/officeDocument/2006/docPropsVTypes"/>
</file>