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akciju sabiedrībai "Sadales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18.2. apakšpunktā ietvertās izmaksas.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18.2.1. un 18.2.4. apakšpunkta neizriet, uz ko attiecināma testēšana, ieregulēšana un pieņemšana ekspluatācijā un uzstādīšana, jo ir apšaubāms, ka minētās darbības ir attiecināmas uz izejvielu un materiālu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18.2. apakšpunkta neizriet, kādos gadījumos attiecināmas ir materiālu iegādes, bet kādos gadījumos - akciju sabiedrības "Sadales tīkls" materiālu izmaksas. Nepieciešamības gadījumā būtu nepieciešams konkretizēt materiālu funkcijas, ja tās atšķiras. Ja akciju sabiedrības "Sadales tīkls" materiālu un izejvielu izmaksas ir kā alternatīva, lūdzam izvērtēt un papildināt 18.2.1., 18.2.2. un 18.2.4. apakšpunktu ar norādi uz izejvielu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konsekventi norādīt uz izmaksām, nevis tikai darbībām, piemēram, norādīt uz materiālu iegādes izmaksām, kā arī nepieciešams precīzi norādīt izmaksas, piemēram, akciju sabiedrības "Sadales tīkls" izejvielu un materiālu ražošanas izmaksas, nevis šo izejvielu un materiālu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akciju sabiedrībai "Sadales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18.2. apakšpunktā u.c. ietvertās attiecināmās izmaksas ar noteikumu projekta anotācijā ietverto informāciju. Norādām, ka, piemēram, bet ne tikai, noteikumu projekts neparedz attiecināt kapitalizējamos aizdevuma procentus. Tomēr, ja noteikumu projekts tiek attiecīgi papildināts, noteikumu projekta anotācijā nepieciešams sniegt detalizētu pamatojumu konkrētajām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Investīciju ietvaros ir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attiecināmās izmaksas ir iekļautas arī citās noteikumu projekta nodaļās, proti, III, IV un V, lūdzam noteikumu projekta 21. punktā norādīt, ka šajā punktā ietvertās izmaksas ir papildus iepriekšējās nodaļās noteiktajām.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Investīciju ietvaros ir papildus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projekta administrēšanas, vadības un projekta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jāparedz procentuāls vai citāds ierobežojums (piemēram, no kopējām projekta izmaksām) attiecībā projekta administrēšanas un vadības izmaksām, lai nodrošinātu attiecīgo izmaksu samērīgumu un efektīvu projekta īstenošanu. Alternatīvi lūdzam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5.4. sadaļas 1. tabulu, korekti norādot noteikumu projekta vienības, kurās ir ieviestas attiecīgās regulas prasības, jo šobrīd informācija vairumā gadījumu sniegta acīmredzami nekorekti.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20.05.2024.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20.05.2024.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Atzinumi_24-TA-674.docx</dc:title>
</cp:coreProperties>
</file>

<file path=docProps/custom.xml><?xml version="1.0" encoding="utf-8"?>
<Properties xmlns="http://schemas.openxmlformats.org/officeDocument/2006/custom-properties" xmlns:vt="http://schemas.openxmlformats.org/officeDocument/2006/docPropsVTypes"/>
</file>