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normatīvajos aktos noteiktajā kārtībā arhivē vai dzēš no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šo noteikumu 1. punktā minētajās informācijas sistēmās personas datus glabāt jeb kā projektā ir ierakstīts - būt pieejamiem 60 mēnešus no datu saņemšanas brīža, ja normatīvajos aktos nav noteikts citādi. Datu regulas 5.panta 1.punkta “e” apakšpunktā ietvertais glabāšanas ierobežojuma princips nosaka, ka personas dati tiek glabāti veidā, kas pieļauj datu subjekta identifikāciju, ne ilgāk kā nepieciešams nolūkiem, kādos attiecīgos personas datus apstrādā. Proti, termiņam ir jābūt konkrēti noteiktam un atsauce, ka glabās 60 mēnešus, ja normatīvajos aktos nav noteikts citādi, nesniedz datu subjektam skaidru izpratni par glabāšanas termiņa noteikšanu, līdz ar to šāda atsauce ir izslēdzama.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Noteikumu projektā izslēgt norādi par citiem normatīvajiem aktiem, jo šajā Noteikumu projektā jau tiek noteikts glabāšanas termiņš uz 60 mēnešiem.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09.08.2023.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09.08.2023.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Atzinumi_23-TA-823.docx</dc:title>
</cp:coreProperties>
</file>

<file path=docProps/custom.xml><?xml version="1.0" encoding="utf-8"?>
<Properties xmlns="http://schemas.openxmlformats.org/officeDocument/2006/custom-properties" xmlns:vt="http://schemas.openxmlformats.org/officeDocument/2006/docPropsVTypes"/>
</file>