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intervencē "Pārtikas kvalitātes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intervencei "Pārtikas kavlitātes shēmas" sākotnēji plānotais finansējums tika palielināts no 12 000 000 </w:t>
            </w:r>
            <w:r w:rsidR="00000000" w:rsidRPr="00000000" w:rsidDel="00000000">
              <w:rPr>
                <w:i w:val="1"/>
                <w:rtl w:val="0"/>
              </w:rPr>
              <w:t xml:space="preserve">euro </w:t>
            </w:r>
            <w:r w:rsidR="00000000" w:rsidRPr="00000000" w:rsidDel="00000000">
              <w:rPr>
                <w:rtl w:val="0"/>
              </w:rPr>
              <w:t xml:space="preserve">uz 12 301 020 </w:t>
            </w:r>
            <w:r w:rsidR="00000000" w:rsidRPr="00000000" w:rsidDel="00000000">
              <w:rPr>
                <w:i w:val="1"/>
                <w:rtl w:val="0"/>
              </w:rPr>
              <w:t xml:space="preserve">euro</w:t>
            </w:r>
            <w:r w:rsidR="00000000" w:rsidRPr="00000000" w:rsidDel="00000000">
              <w:rPr>
                <w:rtl w:val="0"/>
              </w:rPr>
              <w:t xml:space="preserve">, veicot finansējuma sadali starp atsevišķiem pasākumiem jeb intervencēm, lūdzam norādīt, kuram Eiropas Lauksaimniecības fonda lauku attīstībai pasākumam finansējums tika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intervences "Pārtikas kvalitātes shēmas" kopējā finansējuma 12 301 020 </w:t>
            </w:r>
            <w:r w:rsidR="00000000" w:rsidRPr="00000000" w:rsidDel="00000000">
              <w:rPr>
                <w:i w:val="1"/>
                <w:rtl w:val="0"/>
              </w:rPr>
              <w:t xml:space="preserve">euro</w:t>
            </w:r>
            <w:r w:rsidR="00000000" w:rsidRPr="00000000" w:rsidDel="00000000">
              <w:rPr>
                <w:rtl w:val="0"/>
              </w:rPr>
              <w:t xml:space="preserve"> sadalījumu ES līdzfinansējuma un valsts finansējuma apmēram euro izteiksmē un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pārtikas apritē iesaistītam pārstrādes uzņēmumam, kas Līguma par Eiropas Savienības darbību I pielikumā noteiktos primāros lauksaimniecības produktus, izņemot zivsaimniecības un akvakultūras produktus, pārstrādā šajā pielikumā neminētos lauksaimniecības produktos, piešķir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Eiropas Savienības līmenī tiek pārskatīti Komisijas regulas Nr.1407/2013 nosacījumi un līdz 2023.gada beigām Eiropas Komisija plāno apstiprināt jaunu de minimis regulējumu. Ja noteikumu projekta ietvaros plānots de minimis atbalstu piešķirt arī pēc 2024.gada 30.jūnija (Komisijas regulas Nr.1407/2013 darbības beigu termiņš), tad lūdzam ņemt vērā, ka piemērojamie de minimis atbalsta piešķiršanas nosacījumi būs jāpielāgo jaunās de minimis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2.punktā ir norādīts, ka atbalsta mērķis ir arī atbalstīt lauksaimniecības produktu ražotājus, ne tikai lauksaimniecības produktu pārstrādātājus, lūdzam izvērtēt, vai šī atbalsta programma nav jāpapildina ar nosacījumiem, kas izriet arī no Komisijas Regulas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lēmumu par šajos noteikumos minētā </w:t>
            </w:r>
            <w:r w:rsidR="00000000" w:rsidRPr="00000000" w:rsidDel="00000000">
              <w:rPr>
                <w:i w:val="1"/>
                <w:rtl w:val="0"/>
              </w:rPr>
              <w:t xml:space="preserve">de minimis</w:t>
            </w:r>
            <w:r w:rsidR="00000000" w:rsidRPr="00000000" w:rsidDel="00000000">
              <w:rPr>
                <w:rtl w:val="0"/>
              </w:rPr>
              <w:t xml:space="preserve"> atbalsta piešķiršanu vai nepiešķiršanu pieņem, ievērojot regulas Nr. 1407/2013 1. panta 1. punktā minētos nozaru un darbības ierobežojumus. Ja atbalsta pretendents darbojas arī nozarēs, kas minētas regulas Nr. 1407/2013 1. panta 1. punkta "a", "b" vai "c" apakšpunktā, tas nodrošina šo nozaru darbību vai izmaksu nodalīšanu no tām darbībām, kurām piešķirts </w:t>
            </w:r>
            <w:r w:rsidR="00000000" w:rsidRPr="00000000" w:rsidDel="00000000">
              <w:rPr>
                <w:i w:val="1"/>
                <w:rtl w:val="0"/>
              </w:rPr>
              <w:t xml:space="preserve">de minimis</w:t>
            </w:r>
            <w:r w:rsidR="00000000" w:rsidRPr="00000000" w:rsidDel="00000000">
              <w:rPr>
                <w:rtl w:val="0"/>
              </w:rPr>
              <w:t xml:space="preserve"> atbalsts saskaņā ar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25.10.2023. stāsies spēkā Komisijas Regula (ES) 2023/2391 (2023. gada 4. oktobris), </w:t>
            </w:r>
            <w:r w:rsidR="00000000" w:rsidRPr="00000000" w:rsidDel="00000000">
              <w:rPr>
                <w:i w:val="1"/>
                <w:rtl w:val="0"/>
              </w:rPr>
              <w:t xml:space="preserve">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r w:rsidR="00000000" w:rsidRPr="00000000" w:rsidDel="00000000">
              <w:rPr>
                <w:rtl w:val="0"/>
              </w:rPr>
              <w:t xml:space="preserve"> (turpmāk – Komisijas Regula 2023/2391). Skaidrojam, ka ar Komisijas Regulu 2023/2391 tiek precizēts Komisijas Regulas (ES) Nr. 1407/2013 (2013. gada 18. decembris) </w:t>
            </w:r>
            <w:r w:rsidR="00000000" w:rsidRPr="00000000" w:rsidDel="00000000">
              <w:rPr>
                <w:i w:val="1"/>
                <w:rtl w:val="0"/>
              </w:rPr>
              <w:t xml:space="preserve">par Līguma par Eiropas Savienības darbību 107. un 108. panta piemērošanu de minimis atbalstam</w:t>
            </w:r>
            <w:r w:rsidR="00000000" w:rsidRPr="00000000" w:rsidDel="00000000">
              <w:rPr>
                <w:rtl w:val="0"/>
              </w:rPr>
              <w:t xml:space="preserve"> (turpmāk – Komisijas regula Nr.1407/2013) 1.pantā apakšpunktā norādīto izslēdzamo nozaru saraksts, sadalot zvejas un akvakultūras uzņēmumus, atbilstoši precizējot “a” apakšpunkta redakciju un pievienojot  jaunu “aa” apakšpunktu. Līdz ar to lūdzam Jūs izvērtēt nepieciešamību šajā atbalsta programmā precizēt noteikumu projekta 17.3. apakšpunktu par izslēdzamajām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ja tiek konstatēts regulas Nr.1407/2013 pārkāpums, atbalsta saņēmējam ir pienākums atmaksāt Lauku atbalsta dienestam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atbalstu plānots sniegt arī saskaņā ar Komisijas regulas Nr.1407/2013 nosacījumiem, tad, lai nodrošinātu Eiropas Savienības tiesu judikatūrai atbilstošu pienākumu atgūt nelikumīgo komercdarbības atbalstu, aicinām precizēt noteikumu projekta 17.6. apakšpunktu, izsakot to, piemēram, šādā redakcijā: “</w:t>
            </w:r>
            <w:r w:rsidR="00000000" w:rsidRPr="00000000" w:rsidDel="00000000">
              <w:rPr>
                <w:i w:val="1"/>
                <w:rtl w:val="0"/>
              </w:rPr>
              <w:t xml:space="preserve">Ja tiek pārkāpti regulas Nr.1407/2013 nosacījumi, atbalsta saņēmējam ir pienākums atmaksāt Lauku atbalsta dienestam visu projekta ietvaros saņemto nelikumīgo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18.10.2023.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18.10.2023.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Atzinumi_23-TA-1480.docx</dc:title>
</cp:coreProperties>
</file>

<file path=docProps/custom.xml><?xml version="1.0" encoding="utf-8"?>
<Properties xmlns="http://schemas.openxmlformats.org/officeDocument/2006/custom-properties" xmlns:vt="http://schemas.openxmlformats.org/officeDocument/2006/docPropsVTypes"/>
</file>