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iznākuma rādītājs - ar grantiem atbalstīto uzņēmumu skaits, tai skaitā mikrouzņēmumi, mazie, vidējie un lielie uzņēmumi – 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pamatot rādītāja CRO 02 apjomu, ņemot vērā, ka izdalot kopējo 3.kārtas finansējumu ar maksimālo atbalsta summu vienam projektam, ar grantiem atbalstītu uzņēmumu skaits var būt virs 60. Lūgums pārskatīt un precizēt 1.2.1. specifiskā atbalsta mērķa "Pētniecības un inovāciju kapacitātes stiprināšana un progresīvu tehnoloģiju ieviešana uzņēmumiem" pasi.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Projektu iesniegumu vērtēšanas komisijā sadarbības iestāde iekļauj arī pārstāvi no atbildīgās iestādes, kā arī projektā zinātniskā aspekta vērtēšanai, atbilstoši šo noteikumu </w:t>
            </w:r>
            <w:r w:rsidR="00000000" w:rsidRPr="00000000" w:rsidDel="00000000">
              <w:rPr>
                <w:rtl w:val="0"/>
              </w:rPr>
              <w:t xml:space="preserve">19. </w:t>
            </w:r>
            <w:r w:rsidR="00000000" w:rsidRPr="00000000" w:rsidDel="00000000">
              <w:rPr>
                <w:rtl w:val="0"/>
              </w:rPr>
              <w:t xml:space="preserve">punktam</w:t>
            </w:r>
            <w:r w:rsidR="00000000" w:rsidRPr="00000000" w:rsidDel="00000000">
              <w:rPr>
                <w:rtl w:val="0"/>
              </w:rPr>
              <w:t xml:space="preserve">, iesaista nacionālos ekspertus katrā viedās specializācijas (turpmāk - RIS3) jomā un, atbilstoši šo noteikumu </w:t>
            </w:r>
            <w:r w:rsidR="00000000" w:rsidRPr="00000000" w:rsidDel="00000000">
              <w:rPr>
                <w:rtl w:val="0"/>
              </w:rPr>
              <w:t xml:space="preserve">20. </w:t>
            </w:r>
            <w:r w:rsidR="00000000" w:rsidRPr="00000000" w:rsidDel="00000000">
              <w:rPr>
                <w:rtl w:val="0"/>
              </w:rPr>
              <w:t xml:space="preserve">punktam</w:t>
            </w:r>
            <w:r w:rsidR="00000000" w:rsidRPr="00000000" w:rsidDel="00000000">
              <w:rPr>
                <w:rtl w:val="0"/>
              </w:rPr>
              <w:t xml:space="preserve">,  citus ekspertus, kuru zinātniska kvalifikācija un iepriekšējā pieredze atbilst vērtējamā projekta zinātnes nozarei un tematikai un, kas vērtē projektā komersanta inovāciju, atbilstoši projekta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lūdzot atteikties no nacionālā eksperta iesaistes projektu vērtēšanā. Ierobežotā zinātņu nozaru ekspertu tirgus dēļ pastāv augsts interešu konflikta risks, tādēļ atkārtoti lūdzam paredzēt, ka zinātnisko vērtējumu sniedz tikai ārvalstu eksperti. Vienlaikus norādām, ka, ja eksperti sniedz atzinumus, kā tas noteikumu projektā šobrīd tiek paredzēts, tos nav nepieciešams iekļaut vērtēšanas komisijas sastāvā.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ietvaros ir attiecināmas šādas izmaksas, kas ir izmērāmas, samērīgas, pamatotas un atbilst pareizas finanšu vadības principiem saskaņā ar Komisijas regulas Nr. 2018/1046 33.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skaidrs, kādam Komisijas 2014. gada 17. jūnija Regulas (ES) Nr. 651/2014, ar ko noteiktas atbalsta kategorijas atzīst par saderīgām ar iekšējo tirgu, piemērojot Līguma 107. un 108. pantu, (turpmāk – Komisijas regula Nr. 651/2014)  25. panta 3. punkta apakšpunktam atbilst noteikumu projekta 34.punktā minētās izmaksas, lūdzam attiecīgi papildināt noteikumu projekta 34.punkta apakšpunktus ar atsaucēm uz attiecīgajiem Komisijas regulas Nr. 651/2014 25. panta 3. punkta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uzturam iepriekš izteikto iebildumu ar lūgumu pārskatīt noteikumu projekta normas tā, lai noteikumos būtu skaidri noteikts, ka atbalsts komunikācijas un vizuālās identitātes pasākumiem, kurus nosaka Eiropas Savienības fondu īstenošanas nosacījumi, nav kvalificējams kā komercdarbības atbalsts.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komandējuma (darba brauciena) izmaksas saskaņā ar normatīvajiem aktiem par kārtību, kādā atlīdzināmi ar komandējumiem saistītie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Vadlīniju Nr.1.2. "Vadlīnijas attiecināmo izmaksu noteikšanai Eiropas Savienības kohēzijas politikas programmas 2021.-2027.gada plānošanas periodā" 66.zemsvītras atsauci, ārvalstu komandējumu izmaksas attiecināmas tikai projekta īstenošanas personālam un projekta vadītājam. Līdz ar to lūdzam attiecīgi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ka iekšzemes komandējumiem ir jāattiecina  horizontālā vienkāršoto izmaksu metodika "</w:t>
            </w:r>
            <w:r w:rsidR="00000000" w:rsidRPr="00000000" w:rsidDel="00000000">
              <w:rPr>
                <w:rtl w:val="0"/>
              </w:rPr>
              <w:t xml:space="preserve">Vienas vienības izmaksu standarta likmes aprēķina un piemērošanas metodika iekšzemes komandējumu izmaksām darbības programmas “Izaugsme un nodarbinātība” un Eiropas Savienības kohēzijas politikas programmas 2021.-2027.gadam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instrumentu un aprīkojuma izmaksas, t.sk. iekārtu iegādes maksa, iekārtu un to aprīkojuma nomas maksa un finansējuma saņēmēja īpašumā esošo instrumentu un aprīkojuma amortizācijas izmaksas, ciktāl to izmanto pētniecības vai tehniski ekonomiskās priekšizpētes darbībām un nepārsniedzot tirgū noteikto cenu. Attiecināmā instrumentu, iekārtu un to aprīkojuma mēneša nomas maksa tiek pielīdzināta amortizācijas izmaksām, kādas tās būtu, ja instrumenti, iekārtas un to aprīkojums būtu finansējuma saņēmēja īpašumā. Izmaksām jāpiemēro tāda pati nolietojuma aprēķināšanas metode kā nomnieka īpašumā esošajiem pamatlīdzekļiem. Finansējuma saņēmējam jāiesniedz attiecīgie dokumenti, kas apliecina nomāto instrumentu, iekārtu un to aprīkojuma tirgus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vārdus "iekārtu iegādes maksa", ņemot vērā, ka iekārtu iegāde nav attiecināma atbilstoši regulas Nr.651/2014 25.pantam.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Zīlītis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34.10. apdrošināšanas – veselības, dzīvības, transportlīdzekļu, īpašuma, iekārtu, civiltiesiskās atbildības un citas – izmaksas uz projekta īstenošanas laiku bez uzkrājuma veidošanas un iekļaušanas līguma par projekta īstenošanu tekstā. Ja projekts neaptver visu attiecīgās apdrošināšanas darbības laiku, attiecināmajās izmaksās iekļauj tādu daļu no apdrošināšanas izmaksām, kas atbilst projekta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Ekonomikas ministriju sniegt pamatojumu dzīvības izmaksu apdrošināšanas izmaksu segšanai vai svītrot dzīvības apdrošināšanas izdevumus no attiecināmajiem izdevumiem. Kuras ir tās jomas, kas var apdraudēt dzīvību?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Vienkāršoto izmaksu vienotā izmaksu likme šo noteikumu </w:t>
            </w:r>
            <w:r w:rsidR="00000000" w:rsidRPr="00000000" w:rsidDel="00000000">
              <w:rPr>
                <w:rtl w:val="0"/>
              </w:rPr>
              <w:t xml:space="preserve">34.11. </w:t>
            </w:r>
            <w:r w:rsidR="00000000" w:rsidRPr="00000000" w:rsidDel="00000000">
              <w:rPr>
                <w:rtl w:val="0"/>
              </w:rPr>
              <w:t xml:space="preserve">apakšpunktā</w:t>
            </w:r>
            <w:r w:rsidR="00000000" w:rsidRPr="00000000" w:rsidDel="00000000">
              <w:rPr>
                <w:rtl w:val="0"/>
              </w:rPr>
              <w:t xml:space="preserve"> minētajām projektu vadības personāla izmaksām ir 10 procenti,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vienotās likmes aprēķins nav saskaņots ar vadošo iestādi, nevaram saskaņot vienotās likmes apmēru. Turklāt, pirmsškietami, saskatām risku, ka attiecībā uz projekta personāla izmaksu segšanu pastāv nevienlīdzīga pieeja izmaksu attiecināšanā, jo 34.1. un 41.1. apakšpunktā minētais liecina, ka projekta īstenošanas personāla izmaksas tiks segtas ar faktiskajām izmaksām, bet projekta vadības personāla izmaksas ar vienoto likmi. Vēršam uzmanību, ka vienotajā likmē ir jāiekļauj gan projekta vadības personāla, gan īstenošanas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Pasākuma ietvaros vadības informācijas sistēmā uzkrāj šādus RIS3 rādītājus katrā no RIS3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š.g. 26.jūnija sanāksmi starp Ekonomikas ministriju, Izglītības un zinātnes ministriju, Centrālo statistikas pārvaldi, Centrālo finanšu un līgumu aģentūru un vadošo iestādi par RIS3 rādītāju saraksta pārskatīšanu, lūdzam pārskatīt un nepieciešamības gadījumā precizēt noteikumu projekta 64.punktu attiecībā uz RIS3 rādītājiem pēc tam, kad starp augstākminētajām pusēm tiek panākta vienošanās par gala sarakstu ar RIS3 rādītājiem. Attiecīgi lūdzam arī Ekonomikas ministriju informēt vadošo iestādi par RIS3 rādītāju gala sarakstu un to apstiprināšanas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jaunu produktu, pakalpojumu un tehnoloģiju izstrādei, piesaistot ERAF finansējumu un privāto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pasākuma ietvaros investīcijas tiek cita starpā veiktas ar mērķi, lai veicinātu eksporta un produktivitātes rezultātu pieaugumu, aicinām EM izteikt pasākuma mērķa formulējumu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jaunu produktu, pakalpojumu un tehnoloģiju izstrādei, piesaistot ERAF finansējumu un privāto līdzfinansējumu, lai veicinātu eksporta un produktivitātes pieaugumu un dotu pienesumu RIS3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rezultāta rādītājs - publisko atbalstu papildinošo privāto investīciju apjoms vismaz 15 194 567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kāds dokuments noteikumu projekta 10.2.apakšpunktā uzskatāms kā pierādījums, kas pamatos noteikto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Zīlītis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projekta iesniegumus iesniedz projekta iesniedzējs, kurš pēc projekta iesnieguma apstiprināšanas ir finansējuma saņēmējs, kas atbilst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69. punktā noteikto, lūdzam papildināt 14. punktu ar atbilstošu apakšpunktu, kas noteic, ka uz projekta iesniedzēju neattiecas neizpildīts līdzekļu atgūšanas rīkojums saskaņā ar Komisijas regulas Nr.651/2014 1.panta 4.punkta "a"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Sadarbības iestāde, ja nepieciešams, projekta atbilstības novērtēšanai ar inovāciju un citu saistītu pazīmju un pielietojuma vērtēšanai, kā arī starpposma un noslēguma rezultātu zinātniskās kvalitātes izvērtēšanā, ko neveic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minētais nacionālais eksperts, iepirkuma procedūrā iesaista ne mazāk kā divus starptautiskus ekspertus, kas nav saistīti ar projektu Komisijas regulas Nr. 2018/1046 61. panta izpratnē, un nosaka tam nepieciešamo kvalifikāciju, ko saskaņo ar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iespēju šīs atbalsta programmas īstenošanā projektu zinātniskās kvalitātes vērtēšanā piemērot līdzīgu mehānismu, kāds paredzēts Izglītības un zinātnes ministrijas atbildībā esošajā atbalsta pasākumā "Praktiskas ievirzes pētījumi", proti, iesaistot Latvijas Zinātnes padomi ekspertīžu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projekts ir Eiropas Aizsardzības fonda vai Ziemeļatlantijas līguma organizācijas ietvaros procesā esošs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iekļaut skaidrojumu par Eiropas Aizsardzības fonda vai Ziemeļatlantijas līguma organizācijas ietvaros procesā esošu projektu būtību, tostarp, vai procesā esošie projekti nav uzsākti un tādējādi nav pretrunā ar Regulas Nr. 651/2014 6. panta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ietvaros ir attiecināmas šādas izmaksas, kas ir izmērāmas, samērīgas, pamatotas un atbilst pareizas finanšu vadības principiem saskaņā ar Komisijas regulas Nr. 2018/1046 33.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sniegts pietiekams pamatojums, kāpēc atbilstoši regulas 651/2014 25. panta 3. punkta "e" apakšpunktam nevar piemērot vienkāršoto izmaksu likmi 20% apmērā izdevumiem, lai mazinātu administratīvo slogu, uzturam iepriekš izteikto komentāru: Pamatojoties uz Regulas Nr. 651/2014 25. panta 3. punkta e) apakšpunkta nosacījumiem, lūdzam visas noteikumu projekta 32. punkta apakšpunktos norādītās izmaksu pozīcijas, kas iekļautas kā tiešās attiecināmās izmaksas atbilstoši Regulas Nr. 651/2014 3. punkta e) apakšpunktam, paredzēt kā vienoto netiešo izmaksu likmi līdz 20 % apmērā, tādējādi ievērojami atvieglojot birokrātisko slogu gan finansējuma saņēmējiem, gan sadarbības iestādei projektu uzraudzības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rīcībā ir pieejama informācija un dati par izmaksu sadalījumu vairākos pētījumos, kuru summas pārsniedz 200 000 EUR, līdz ar to vienkāršoto izmaksu metodikai būtu pietiekams datu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Zīlītis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 izmaksas, kas minētas Komisijas regulas Nr. 651/2014 25. panta 3. punkta "d" apakšpunktā un to amortizācijas izmaksas, ciktāl tas tiek izmantots pētniecības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uzskaitīt attiecināmās izmaksas no regulas "d" apakšpunkta. Papildus lūdzam dzēst teksta daļu "un to amortizācijas izmaksas, ciktāl tas tiek izmantots pētniecības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Zīlītis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 izmaksas, kas minētas Komisijas regulas Nr. 651/2014 25. panta 3. punkta "c" apakšpunktā. Izmaksas par ēkām iespējams attiecināt no konkrētas daļas. Iekārtu amortizācijai piemēro tādu pašu nolietojuma aprēķināšanas metodi kā nomnieka īpašumā esošajiem pamatlīdzekļiem. Amortizācijas izmaksas iekārtām, kas iegādātas finanšu nomā, nevar būt lielākas par veikto nomas maksājumu par pamatlīdzekļa iegādi. Netiek segtas telpu, instrumentu, iekārtu un to aprīkojuma, patentu un licenču amortizācijas izmaksas, ja to iegādei vai izveidei jau ir ticis saņemts komercdarbības atbalsts no valsts, pašvaldības, Eiropas Savienības vai citiem publiskajiem līdzekļiem šā vai cita atbalsta pasākuma vai projekta ietvaros. Ja laiks, kamēr telpas, instrumentus, iekārtas, patentus un licences izmanto pētniecībā, neaptver visu attiecīgo telpu, instrumentu, iekārtu, patentu un licenču lietderīgās lietošanas laiku, par attiecināmajām izmaksām uzskata tikai tādas amortizācijas izmaksas, kas atbilst projekta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apakšpunkta redakciju, ņemot vērā, ka regulas Nr. 651/2014 25. panta 3. punkta "c" apakšpunkts ir par ēku un zemes izmaksām, bet 34.9. apakšpunkta redakcijā ir par iekārtu amortizāciju, kas dublē noteikumu projekta 34.6.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Zīlītis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Maksimāli pieļaujamā finansējuma intensitāte saskaņā ar Komisijas regulas Nr. 651/2014 25. panta 5. punkta "b", "c", "d" apakšpunktu, 6. punkta "a" apakšpunktu un 7. punktu (procentos no projekta kopējām attiecināmajām izmaksām) ir šāda: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Komisijas regulas Nr.651/2014 25.panta atbalstu pretendē arī mazas vidējas kapitalizācijas un vidējas kapitalizācijas sabiedrības, lūdzam anotācijā norādīt, atbilstoši kādai komersanta kategorijai šiem komersantiem tiek noteikta atbalsta intensitāte.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Cintija Ripa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Pasākuma ietvaros izmaksas projekta ietvaros iespējams attiecināt līdz 2029. gada 31. decembrim. Ja finansējuma saņēmējam projekta ietvaros izmaksas rodas pēc 2029. gada 31. decembra, tās tiek segtas no finansējuma saņēmēja līdzekļiem, kas ir brīvi no komercdarbības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projektā norādīt projekta īstenošanas termiņu, kas nepārsniedz izmaksu attiecināmības perioda beigu termiņu – 2029. gada 31. decembri. No noteikumu projekta 54. punkta redakcijas secināms izmaksu attiecināmības termiņš - 2029. gada 31. decembris, taču nav norādīts </w:t>
            </w:r>
            <w:r w:rsidR="00000000" w:rsidRPr="00000000" w:rsidDel="00000000">
              <w:rPr>
                <w:u w:val="single"/>
                <w:rtl w:val="0"/>
              </w:rPr>
              <w:t xml:space="preserve">projekta īstenošanas termiņš</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normai ir jābūt skaidrai, lai tās lietotājs un piemērotājs gūtu nepārprotamu priekšstatu par normā ietvertajiem pienākumiem un tiesībām. Lai nodrošinātu viennozīmīgu normatīvā regulējuma interpretāciju, lūdzam papildināt noteikumu projekta V nodaļu "Projekta īstenošanas un finansējuma saņemšanas nosacījumi" ar 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 saskaņā ar noslēgto līgumu par projekta īstenošanu, bet ne ilgāk kā līdz 2029.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55.4. iesniegt sadarbības iestādei avansa maksājuma pieprasījumu, ja attiecināms, iesniegšanas termiņu nosakot ne biežāku kā reizi 6 mēnešos;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55.4. apakšpunktu, ņemot vērā, ka avansa apmērs, tā pieprasīšanas un citi nosacījumi ietverti noteikumu projekta 59. punktā, tostarp 59.3.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Finansējuma saņēmējam ir tiesības saņemt avansus, starpposma un noslēguma maksājumus atbilstoši šo noteikumu </w:t>
            </w:r>
            <w:r w:rsidR="00000000" w:rsidRPr="00000000" w:rsidDel="00000000">
              <w:rPr>
                <w:rtl w:val="0"/>
              </w:rPr>
              <w:t xml:space="preserve">59. </w:t>
            </w:r>
            <w:r w:rsidR="00000000" w:rsidRPr="00000000" w:rsidDel="00000000">
              <w:rPr>
                <w:rtl w:val="0"/>
              </w:rPr>
              <w:t xml:space="preserve">punktā</w:t>
            </w:r>
            <w:r w:rsidR="00000000" w:rsidRPr="00000000" w:rsidDel="00000000">
              <w:rPr>
                <w:rtl w:val="0"/>
              </w:rPr>
              <w:t xml:space="preserve">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56. punktu, jo minētā norma ir deklaratīva (ņemot vērā, ka avansa un starpposma maksājuma apmērs, avansa pieprasīšanas un citi nosacījumi ietverti noteikumu projekta 59. punktā), kā arī noteikumu projekta 59. punkts neparedz noslēguma maksājumu saņemšanas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Finansējuma saņēmējs uzņemas risku visas ar projekta īstenošanu saistītās izmaksas segt no saviem līdzekļiem, ja projekta iesniegums neatbilst projektu iesniegumu vērtēšanas kritērijiem sadarbības iestāde pieņem lēmumu par komercdarbības atbalsta nepiešķiršanu vai konstatē neatbilstības projekta īstenošanas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normai ir jābūt skaidrai, lai tās lietotājs un piemērotājs gūtu nepārprotamu priekšstatu par normā ietvertajiem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projektu uzsāk īstenot pēc tam, kad projekta iesniegums ir apstiprināts (ir atbildis projektu iesniegumu vērtēšanas kritērijiem), tādējādi normā nevar tikt runāts par </w:t>
            </w:r>
            <w:r w:rsidR="00000000" w:rsidRPr="00000000" w:rsidDel="00000000">
              <w:rPr>
                <w:u w:val="single"/>
                <w:rtl w:val="0"/>
              </w:rPr>
              <w:t xml:space="preserve">ar projekta īstenošanu</w:t>
            </w:r>
            <w:r w:rsidR="00000000" w:rsidRPr="00000000" w:rsidDel="00000000">
              <w:rPr>
                <w:rtl w:val="0"/>
              </w:rPr>
              <w:t xml:space="preserve"> saistīto izmaksu segšanu, ja </w:t>
            </w:r>
            <w:r w:rsidR="00000000" w:rsidRPr="00000000" w:rsidDel="00000000">
              <w:rPr>
                <w:u w:val="single"/>
                <w:rtl w:val="0"/>
              </w:rPr>
              <w:t xml:space="preserve">projekta iesniegums neatbilst</w:t>
            </w:r>
            <w:r w:rsidR="00000000" w:rsidRPr="00000000" w:rsidDel="00000000">
              <w:rPr>
                <w:rtl w:val="0"/>
              </w:rPr>
              <w:t xml:space="preserve"> projektu iesniegumu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izvērtēt un precizēt noteikumu projekta 61. punkta redakciju, lai būtu viennozīmīgi skaidrs, kādas izmaksas finansējuma saņēmējs uzņemas segt no saviem līdzekļiem, piemēram, svītrojot vārdus "projekta iesniegums neatbilst projektu iesniegumu vērtēšanas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6.punktā sniegto informāciju papildināt ar skaidrojumu, kas pamato valsts budžeta līdzfinansējuma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departamenta komentārs, Elīna Kobzeva)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 Prasības projekta iesniedzējam un projekta vērtēšanai" tekstā </w:t>
            </w:r>
            <w:r w:rsidR="00000000" w:rsidRPr="00000000" w:rsidDel="00000000">
              <w:rPr>
                <w:i w:val="1"/>
                <w:rtl w:val="0"/>
              </w:rPr>
              <w:t xml:space="preserve">"Pasākuma ietvaros atklāta konkursa uzsaukumus organizē </w:t>
            </w:r>
            <w:r w:rsidR="00000000" w:rsidRPr="00000000" w:rsidDel="00000000">
              <w:rPr>
                <w:b w:val="1"/>
                <w:i w:val="1"/>
                <w:rtl w:val="0"/>
              </w:rPr>
              <w:t xml:space="preserve">trijās</w:t>
            </w:r>
            <w:r w:rsidR="00000000" w:rsidRPr="00000000" w:rsidDel="00000000">
              <w:rPr>
                <w:i w:val="1"/>
                <w:rtl w:val="0"/>
              </w:rPr>
              <w:t xml:space="preserve"> kārtās, jaunu atklātu projektu iesniegumu atlasi sludinot pēc tam, kad noslēgusies iepriekšējā atlases kārta. Pirmo trīs projektu iesniegumu atlases kārtu ietvaros paredzētais attiecināmais finansējums – 16 milj. euro. </w:t>
            </w:r>
            <w:r w:rsidR="00000000" w:rsidRPr="00000000" w:rsidDel="00000000">
              <w:rPr>
                <w:b w:val="1"/>
                <w:i w:val="1"/>
                <w:rtl w:val="0"/>
              </w:rPr>
              <w:t xml:space="preserve">Ceturtajai un piektajai</w:t>
            </w:r>
            <w:r w:rsidR="00000000" w:rsidRPr="00000000" w:rsidDel="00000000">
              <w:rPr>
                <w:i w:val="1"/>
                <w:rtl w:val="0"/>
              </w:rPr>
              <w:t xml:space="preserve"> atlases kārtām kopējo finansējums paredzēts 11 375 400 euro apmērā, savukārt noslēguma projektu iesniegumu atlases kārtu organizē par visu pasākuma ietvaros neizmantoto attiecināmo finansējumu, tai skaitā, elastības finansējumu, ja pēc Eiropas Komisijas lēmuma par vidusposma pārskatu tiek palielināts pasākumam kopējais pieejamais attiecināmais finansējums. Projektu iesniegumu atlases kārtas grafiku sadarbības iestāde saskaņo ar atbildīgo iestādi" </w:t>
            </w:r>
            <w:r w:rsidR="00000000" w:rsidRPr="00000000" w:rsidDel="00000000">
              <w:rPr>
                <w:rtl w:val="0"/>
              </w:rPr>
              <w:t xml:space="preserve">nav skaidri saprotams, cik atlases kārtas paredzētas.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visās vietās tekstā kopējais pieejamais finansējums (32 501 748 EUR) ir norādīts par 1 EUR mazāk nekā noteikumu projektā. Lūdzam precizēt anotāciju, lai salāgotu ar noteikumu projektā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normas, kas Sodu reģistrā pārbaudāmas elektronisko izziņu vajadzībām, norādītas Ministru kabineta 2023. gada 13. jūlija noteikumu Nr. 408 "Kārtība, kādā Eiropas Savienības fondu vadībā iesaistītās institūcijas nodrošina šo fondu ieviešanu 2021.–2027. gada plānošanas periodā" (turpmāk - noteikumi Nr. 408) 3.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papildināt anotācijas 1.3. sadaļas apakšsadaļā "Risinājuma apraksts" ietvertajā tabulā uzskaitītās normas un salāgot ar noteikumu Nr. 408 3. pielikumā noteikto, proti, pēc nepieciešamības tabulu papildinot arī ar atsaucēm uz Krimināllikuma 177.</w:t>
            </w:r>
            <w:r w:rsidR="00000000" w:rsidRPr="00000000" w:rsidDel="00000000">
              <w:rPr>
                <w:vertAlign w:val="superscript"/>
                <w:rtl w:val="0"/>
              </w:rPr>
              <w:t xml:space="preserve">1</w:t>
            </w:r>
            <w:r w:rsidR="00000000" w:rsidRPr="00000000" w:rsidDel="00000000">
              <w:rPr>
                <w:rtl w:val="0"/>
              </w:rPr>
              <w:t xml:space="preserve">, 178., 190.</w:t>
            </w:r>
            <w:r w:rsidR="00000000" w:rsidRPr="00000000" w:rsidDel="00000000">
              <w:rPr>
                <w:vertAlign w:val="superscript"/>
                <w:rtl w:val="0"/>
              </w:rPr>
              <w:t xml:space="preserve">1</w:t>
            </w:r>
            <w:r w:rsidR="00000000" w:rsidRPr="00000000" w:rsidDel="00000000">
              <w:rPr>
                <w:rtl w:val="0"/>
              </w:rPr>
              <w:t xml:space="preserve"> un 326.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"IV Finansējuma saņēmēja izmaksu attiecināmības nosacījumi" norādīts,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"Ņemot vērā, ka noteikumu projekta ietvaros projektiem minimālais attiecināmo izmaksu apmērs noteikts ne mazāk kā 200 tūkst. EUR (ieskaitot), visi projekti paredzēti pētniecībai un inovācijām, kā arī katra projekta īstenotāja plānotās atbalsta aktivitātes un tiem paredzētie izcenojumi var atšķirties."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pretrunā ar Regulas Nr.651/2014 25. panta 3. punkta e) apakšpunktu, kur noteikts, ka: </w:t>
            </w:r>
            <w:r w:rsidR="00000000" w:rsidRPr="00000000" w:rsidDel="00000000">
              <w:rPr>
                <w:i w:val="1"/>
                <w:rtl w:val="0"/>
              </w:rPr>
              <w:t xml:space="preserve">"papildu pieskaitāmās izmaksas un citi darbības izdevumi, tostarp materiālu, piederumu un līdzīgu produktu izmaksas, kas radušās tieši projekta rezultātā; neskarot 7. panta 1. punkta trešo teikumu, šādu </w:t>
            </w:r>
            <w:r w:rsidR="00000000" w:rsidRPr="00000000" w:rsidDel="00000000">
              <w:rPr>
                <w:i w:val="1"/>
                <w:u w:val="single"/>
                <w:rtl w:val="0"/>
              </w:rPr>
              <w:t xml:space="preserve">pētniecības un attīstības projektu izmaksas var arī aprēķināt, pamatojoties uz vienkāršoto izmaksu pieeju</w:t>
            </w:r>
            <w:r w:rsidR="00000000" w:rsidRPr="00000000" w:rsidDel="00000000">
              <w:rPr>
                <w:i w:val="1"/>
                <w:rtl w:val="0"/>
              </w:rPr>
              <w:t xml:space="preserve">, kurā pētniecības un attīstības projekta kopējām attiecināmajām tiešajām izmaksām, kas minētas a) līdz d) apakšpunktā, tiek piemērota </w:t>
            </w:r>
            <w:r w:rsidR="00000000" w:rsidRPr="00000000" w:rsidDel="00000000">
              <w:rPr>
                <w:i w:val="1"/>
                <w:u w:val="single"/>
                <w:rtl w:val="0"/>
              </w:rPr>
              <w:t xml:space="preserve">vienota likme maksimāli 20 % apmērā</w:t>
            </w:r>
            <w:r w:rsidR="00000000" w:rsidRPr="00000000" w:rsidDel="00000000">
              <w:rPr>
                <w:i w:val="1"/>
                <w:rtl w:val="0"/>
              </w:rPr>
              <w:t xml:space="preserve">. Šādā gadījumā pētniecības un attīstības projekta izmaksas, ko izmanto netiešo izmaksu aprēķināšanai, nosaka, pamatojoties uz parasto grāmatvedības praksi, un tās ietver tikai attiecināmās pētniecības un attīstības projekta izmaksas, kas minētas a) līdz d)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Regula Nr.651/2014 paredz vienoto likmi pētniecības un attīstības projektiem. Lūdzam precizēt anotācijā norādīto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Zīlītis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kārtējo (n) gadu norādīt 2024.gadu, attiecīgi ietekmi uz budžetu atspoguļojot korektajā ailē. Vienlaikus lūdzam izvērtēt un nepieciešamības gadījumā precizēt 6.punkta otrajā rindkopā norādīto projektu iesniegumos pasākuma īstenošanai pieejamo valsts budžeta finansējuma apmēru, ievērojot, ka plānotais kopējais attiecināmais valsts budžeta finansējuma apmērs ir palielināts par vienu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01.07.2024.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01.07.2024.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