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Autoceļu lietošanas nodevas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punktā tiesību akta projekta izstrādes nepieciešamība tiek pamatota ar faktu, ka Latvijā ir zemākās autoceļu lietošanas nodevas likmes starp Baltijas valstīm. Tāds pats arguments minēts arī anotācijas 1.3. punktā, raksturojot pašreizējo situāciju un aprakstot tās risinājumu. Vēršam uzmanību, ka valsts nodevas mērķis ir personu darbības regulēšana (kontrolēšana, veicināšana, ierobežošana), tāpēc autoceļu lietošanas nodevas paaugstināšanas nepieciešamību skaidrot ar izmaksu kompensāciju nav īsti korekti.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anotācijas 1.1. un 1.3. punktu, ievērojot valsts nodevas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19.09.2024. sēdē pieņemto lēmumu, lūdzam anotācijas 2.2.1. sadaļā sniegto informāciju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“ALN ieņēmumu palielināšana radīs pozitīvu ietekmi uz tautsaimniecību kopumā. Vairāk līdzekļu varēs novirzīt Satiksmes ministrijas budžeta apakšprogrammai 23.06.00 “Valsts autoceļu uzturēšana un atjaunošana”. Saistībā ar papildu ALN ieņēmumiem, izdevumu pasākumi tiks noteikti, sagatavojot likumprojektu “Par valsts budžetu 2025. gadam un budžeta ietvaru 2025., 2026. un 2027. gadam”, paredzot tos kā fiskāli neitrālu risinājumu, ievērojot Ministru kabineta 19.09.2024. sēdē pieņemto lēmumu (prot. Nr.38 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24.09.2024. 22.24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24.09.2024. 22.24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Atzinumi_24-TA-1656.docx</dc:title>
</cp:coreProperties>
</file>

<file path=docProps/custom.xml><?xml version="1.0" encoding="utf-8"?>
<Properties xmlns="http://schemas.openxmlformats.org/officeDocument/2006/custom-properties" xmlns:vt="http://schemas.openxmlformats.org/officeDocument/2006/docPropsVTypes"/>
</file>