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projekts) sākotnējās ietekmes (ex-ante) novērtējuma ziņojumu (anotāciju), norādot konkrētas Sauszemes transportlīdzekļu īpašnieku civiltiesiskās atbildības obligātās apdrošināšanas likuma tiesību normas, kas paredz attiecīgos grozījumus, nevis ietvert atsauci uz Sauszemes transportlīdzekļu īpašnieku civiltiesiskās atbildības obligātās apdrošināšanas likuma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precizētais projekts neparedz, ka noteikumi stājas spēkā 2025. gada 1. janvārī, 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13.12.2024.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13.12.2024.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