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13. aprīļa noteikumos Nr. 242 "Augstas gatavības pašvaldību investīciju projektu pieteikšanas, izskatīšanas un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un informē aģentūru par to saskaņošanu. Ja aģentūra vai Izglītības un zinātnes ministrija konstatē, ka pašvaldība investīciju projektam piešķirto finansējumu nav izmantojusi atbilstoši paredzētajam mērķim un šajos noteikumos minētajiem nosacījumiem, vai šo noteikumu 3.</w:t>
            </w:r>
            <w:r w:rsidR="00000000" w:rsidRPr="00000000" w:rsidDel="00000000">
              <w:rPr>
                <w:vertAlign w:val="superscript"/>
                <w:rtl w:val="0"/>
              </w:rPr>
              <w:t xml:space="preserve">1 </w:t>
            </w:r>
            <w:r w:rsidR="00000000" w:rsidRPr="00000000" w:rsidDel="00000000">
              <w:rPr>
                <w:rtl w:val="0"/>
              </w:rPr>
              <w:t xml:space="preserve">8. vai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paredzēt, ka, pamatojot objektīvu nepieciešamību, pašvaldība var lūgt Valsts Reģionālās attīstības aģentūru pagarināt investīciju projektu īstenošanai nepieciešamo iepirkuma līgumu noslēgšanas termiņu līdz 2023.gada 30.septembrim, kā arī pagarināt investīciju projekta īstenošanas termiņu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saistīts ar objektīviem apstākļiem, ar kādiem saskaras Gulbenes novada pašvaldība, proti, nepieciešamību sludināt atkārtotu iepirkumu ( 2021.gadā tika uzsākts projekts, taču būvnieks nespēja veikt uzņemtos darbus noteiktajos termiņos, kā rezultātā pašvaldībai šogad nācās lauzt līgumu. Prasītais pagarinājums ir būtisks!)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neveikt grozījumu Ministru kabineta 13.04.2021. noteikumu Nr.242 9.3. apakšpunktā un to saglabāt šobrīd spēkā esošajā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17.07.2023. 12.59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17.07.2023. 12.59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Atzinumi_23-TA-1617.docx</dc:title>
</cp:coreProperties>
</file>

<file path=docProps/custom.xml><?xml version="1.0" encoding="utf-8"?>
<Properties xmlns="http://schemas.openxmlformats.org/officeDocument/2006/custom-properties" xmlns:vt="http://schemas.openxmlformats.org/officeDocument/2006/docPropsVTypes"/>
</file>