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21-TA-62: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Klimata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verificētāji nodrošina būtiskās šā panta </w:t>
            </w:r>
            <w:r w:rsidR="00000000" w:rsidRPr="00000000" w:rsidDel="00000000">
              <w:rPr>
                <w:rtl w:val="0"/>
              </w:rPr>
              <w:t xml:space="preserve">sestajā</w:t>
            </w:r>
            <w:r w:rsidR="00000000" w:rsidRPr="00000000" w:rsidDel="00000000">
              <w:rPr>
                <w:rtl w:val="0"/>
              </w:rPr>
              <w:t xml:space="preserve"> un </w:t>
            </w:r>
            <w:r w:rsidR="00000000" w:rsidRPr="00000000" w:rsidDel="00000000">
              <w:rPr>
                <w:rtl w:val="0"/>
              </w:rPr>
              <w:t xml:space="preserve">septītajā</w:t>
            </w:r>
            <w:r w:rsidR="00000000" w:rsidRPr="00000000" w:rsidDel="00000000">
              <w:rPr>
                <w:rtl w:val="0"/>
              </w:rPr>
              <w:t xml:space="preserve"> daļā minēto ziņojumu verificēšanu.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verificētāji nodrošina šā panta sestajā un septītajā daļā minēto ziņojumu verificēšanu."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Līdzekļu atlikumu, kas gūts no Latvijas Republikai piederošo noteiktā daudzuma vienību pārdošanas starptautiskās emisijas vienību tirdzniecības ietvaros, izmanto Emisijas kvotu izsolīšanas instrumenta ietvaros atbilstoši šā likuma </w:t>
            </w:r>
            <w:r w:rsidR="00000000" w:rsidRPr="00000000" w:rsidDel="00000000">
              <w:rPr>
                <w:rtl w:val="0"/>
              </w:rPr>
              <w:t xml:space="preserve">34. </w:t>
            </w:r>
            <w:r w:rsidR="00000000" w:rsidRPr="00000000" w:rsidDel="00000000">
              <w:rPr>
                <w:rtl w:val="0"/>
              </w:rPr>
              <w:t xml:space="preserve">pantā</w:t>
            </w:r>
            <w:r w:rsidR="00000000" w:rsidRPr="00000000" w:rsidDel="00000000">
              <w:rPr>
                <w:rtl w:val="0"/>
              </w:rPr>
              <w:t xml:space="preserve"> noteiktajam. Šajā daļā minēto līdzekļu atlikumu apstiprina ar Ministru kabineta sēdes lēmumu vienlaikus ar šā likuma 35. panta </w:t>
            </w:r>
            <w:r w:rsidR="00000000" w:rsidRPr="00000000" w:rsidDel="00000000">
              <w:rPr>
                <w:rtl w:val="0"/>
              </w:rPr>
              <w:t xml:space="preserve">trešajā daļā</w:t>
            </w:r>
            <w:r w:rsidR="00000000" w:rsidRPr="00000000" w:rsidDel="00000000">
              <w:rPr>
                <w:rtl w:val="0"/>
              </w:rPr>
              <w:t xml:space="preserve"> minēto informatīvo 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izslēdzot norādi uz Ministru kabineta sēdi, jo nav nepieciešams skaidrot procedūru, kādā Ministru kabinets pieņem lēmumus.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Līdzekļu atlikumu, kas gūts no Latvijas Republikai piederošo noteiktā daudzuma vienību pārdošanas starptautiskās emisijas vienību tirdzniecības ietvaros, izmanto Emisijas kvotu izsolīšanas instrumenta ietvaros atbilstoši šā likuma 34. pantā noteiktajam. Šajā daļā minēto līdzekļu atlikumu apstiprina ar Ministru kabineta lēmumu vienlaikus ar šā likuma 35. panta trešajā daļā minēto informatīvo 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Izsoļu ieņēmumu izmantošanā ņem vērā pasākumu ietekmi ne vien uz siltumnīcefekta gāzu emisijas daudzumu, bet arī uz vides kvalitāti kopumā, tai skaitā citu piesārņojošo vielu emisiju, pārrobežu gaisa piesārņojumu, dabiskajiem biotopiem.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34. panta otrajā daļā vārdu "pasākumu" aizstāt ar vārdiem "emisijas kvotu izsolīšanas instrumenta ietvaros apstiprināto projektu", nodrošinot konsekventu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Izsoļu ieņēmumu izmantošanā ņem vērā pasākumu ietekmi ne vien uz siltumnīcefekta gāzu emisijas daudzumu, bet arī uz vides kvalitāti kopumā, tai skaitā citu piesārņojošo vielu emisiju, pārrobežu gaisa piesārņojumu, dabiskajiem biotopiem.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anotācijā skaidrot likumprojekta 34. panta otrajā daļā ietvertā regulējuma atbilstību Eiropas Parlamenta un Padomes 2008. gada 19. novembra Direktīvas 2008/101/EK, ar ko groza Direktīvu 2003/87/EK, lai aviācijas darbības iekļautu Kopienas siltumnīcas efektu izraisošo gāzu emisijas kvotu tirdzniecības sistēmā 1. panta 4. punktā ietvertās grozāmās direktīvas 3d. panta 4. punktam. Norādām, ka atbilstoši minētajai direktīvas normai kvotu izsolēs iegūto ieņēmumu izmantojumu nosaka dalībvalstis, tomēr direktīvā norādīti konkrēti ieņēmumu izmantošanas virzieni, iepretim kuriem nodrošināma dalībvalsts pasākumu atbilstība.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ieņēmumu dienests par Regulas 2023/956 26. pantā un Regulas 2023/1773 16. pantā paredzēto atbildību izdod administratīvo aktu.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Lūdzam precizēt projektā izmantoto terminoloģiju, lai skaidri norobežotu likumprojekta 44. panta otrajā daļā minēto pasākumu no administratīvās atbildības vai tai līdzīgiem piespiedu ietekmēšanas līdzekļiem (piemēram, izmantot vārdu "maksājums" vai tamlīdzīgi).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44. panta otrajā daļā vārdi "paredzēto atbildību" aizstājami ar apzīmējumu, kas skaidri norobežotu paredzēto pasākumu no administratīvās atbildības (soda). Projekta anotācijā ir iekļauts pamatojums, ka tās nav atzīstamas par krimināltiesiska (sodoša) rakstura administratīvām sankcijām. Līdz ar to nav vēlams izmantot terminus, kas radītu priekšstatu par iespējamu administratīvu atbildību (sodu) vai tai līdzīga piespiedu ietekmēšanas līdzekļa esību. Tāpat nebūtu atbalstāmi arī tādi termini kā sods vai sankcija, neskatoties uz regulās lietoto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šajā gadījumā varētu paredzēt, ka Valsts ieņēmumu dienests attiecīgajās regulās minēto maksājumu nosaka (piemēro), izdodot administratīvo aktu. Vārda "maksājums" vietā var izmantot arī citu līdzīga rakstura apzīmējumu. Tā kā normatīvos aktus raksta vienotā stilistikā, izmantojot vienveidīgas un standartizētas vārdiskās izteiksmes, tad šajā pantā esošā pasākuma apzīmējumam būtu izmantojamas tādas vārdiskās izteiksmes, kas lietotas, lai apzīmētu līdzīga rakstura pasākumus, piemēram, projekta 25. pantā minēto maksājumu (Ministru kabineta 2009. gada 3. februāra noteikumu Nr. 108 "Normatīvo aktu projektu sagatavošanas noteikumi" 2.3.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Republikas nacionālo klimata mērķu sasniegšana saskaņā ar Eiropas Savienības un starptautiskajām saistībām ir saistoša plānošanas reģioniem un pašvaldībām, to kompetences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48. panta pirmo daļu, jo attiecīgajai normai nav juridiskas slodzes, turklāt šī norma pēc būtības dublē likumprojekta 45. panta pirmajā daļā noteikto. Nepieciešamības gadījumā lūdzam nodrošināt konkrētu attiecīgo Eiropas Savienības un starptautisko saistību ieviešanu vai koordināciju, atbilstoši papildinot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likumprojektā ietverto spēkā stāšanās termiņu 2024. gada 30. jūniju, nodrošinot iespējami drīzu likumprojekta spēkā stāšanos. Likumprojekta anotācijā norādīts, ka ar likumprojektu nacionālajā līmenī tiek ieviestas vairākas Eiropas Komisijas “Gatavi mērķrādītājam 55” tiesību normas, kurām bija jāstājas spēkā līdz 2023. gada 1. decembrim, attiecīgi nav saskatāms pamats paredzēt vēlāku likumprojekta spēkā stāšanās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izziņas 179.iebildumam attiecībā uz likumprojekta 24. panta trešajā daļā veiktajiem grozījumiem (izslēgts likumprojekta 24. panta trešās daļas 2. punkts), precizēt anotācijas 1.3. sadaļu, proti, minētajā normā vairs nav iekļauts pilnvarojums Ministru kabinetam noteikt kārtību, kādā apstiprina valsts sabiedrības ar ierobežotu atbildību "Latvijas Vides, ģeoloģijas un meteoroloģijas centrs" kā valsts administratora maksas pakalpojumu cenrādi.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anotācijas 5.4. sadaļas 1. tabulā (aizpildot A, B, C un D aili) skaidrot Eiropas Savienības regulu prasību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Komisijas 2018. gada 19. decembra deleģētās regulas 2019/331, ar ko nosaka Savienības mēroga pārejas noteikumus saskaņotai bezmaksas emisijas kvotu iedalei saskaņā ar Eiropas Parlamenta un Padomes Direktīvas 2003/87/EK 10.a panta;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Komisijas 2019. gada 31. oktobra regulas 2019/1842 ar ko nosaka noteikumus Eiropas Parlamenta un Padomes Direktīvas 2003/87/EK piemērošanai attiecībā uz sīkāku kārtību, kā izdarāmi bezmaksas emisijas kvotu iedales pielāgojumi sakarā ar darbības līmeņa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Komisijas 2018. gada 19. decembra Īstenošanas regulas 2018/2067 par datu verifikāciju un verificētāju akreditāciju saskaņā ar Eiropas Parlamenta un Padomes Direktīvu 2003/87/EK un Komisijas 2018. gada 19. decembra Īstenošanas regulas 2018/2066 par siltumnīcefekta gāzu emisiju monitoringu un ziņošanu saskaņā ar Eiropas Parlamenta un Padomes Direktīvu 2003/87/EK un ar ko groza Komisijas Regulu (ES) Nr. 601/2012.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21-TA-62</w:t>
    </w:r>
    <w:r>
      <w:br/>
    </w:r>
    <w:r w:rsidR="00000000" w:rsidRPr="00000000" w:rsidDel="00000000">
      <w:rPr>
        <w:rtl w:val="0"/>
      </w:rPr>
      <w:t xml:space="preserve">Izdrukāts 13.05.2024. 11.36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21-TA-62</w:t>
    </w:r>
    <w:r>
      <w:br/>
    </w:r>
    <w:r w:rsidR="00000000" w:rsidRPr="00000000" w:rsidDel="00000000">
      <w:rPr>
        <w:rtl w:val="0"/>
      </w:rPr>
      <w:t xml:space="preserve">Izdrukāts 13.05.2024. 11.36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Atzinumi_21-TA-62.docx</dc:title>
</cp:coreProperties>
</file>

<file path=docProps/custom.xml><?xml version="1.0" encoding="utf-8"?>
<Properties xmlns="http://schemas.openxmlformats.org/officeDocument/2006/custom-properties" xmlns:vt="http://schemas.openxmlformats.org/officeDocument/2006/docPropsVTypes"/>
</file>