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iebilst pret likumprojekta tālāku virzību. Šībrīža likumprojekta redakcija ir izplūdusi un neskaidra. Tā rada iespējamas interpretācijas normu piemērošanā kas var radīt būtiskas sekas indivīdiem un sabiedrībai kopumā. Grozījumu būtība lielākoties paredz palielināt sodus par būtisku kaitējumu dabas vērtību iznīcināšanai. Taču šāds formulējums radīs ekspertu dažādas interpretācijas. Tikpat nesaprotama ir likumprojekta sadaļa par invazīvo sugu izplatību, kas pēc būtības paredz kriminālatbildību par Latvijā daudz izplatītu pļavas augu plūkšanu un pārvadāšanu. Šāda likuma norma var radīt būtiskas sekas sabiedrībai, kas par šādu normu ieceri nav informēta un liela daļa sabiedrības par to nebūtu informēta pat tad ja šāds likums tiktu pieņemts. Likumiem ir jābūt saprótamiem, loģiskiem un vienkārši piemērojamiem, kas šajā gadījumā 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