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enerģētika (izņemot šā likuma pielikumā noteiktās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4. panta pirmās daļas 1. punkta redakcija ir korekta. Pirmšķietami iekavās ietvertā atsauce uz likumprojekta pielikumu būtu aizstājama ar atsauci uz likuma "Par piesārņojumu" 2. pielikuma I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rūpnieciskie procesi un produktu ražošana (izņemot šā likuma 1. pielikumā noteiktās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 panta pirmās daļas 3. punkta redakciju. Vēršam uzmanību uz to, ka likumprojektam nav 1. pielikuma. Vienlaikus aicinām izvērtēt, vai iekavās atsauce būtu izdarāma uz likuma "Par piesārņojumu" 2. pielikuma I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pamatbudžetā kārtējam gadam un ilgtermiņa saistībās turpmākajiem gadiem finansējumu šā likuma 13. pantā minētajiem mērķiem paredz kā dotāciju no vispārējiem ieņēmumiem atsevišķā Klimata un enerģētikas ministrijas budžeta programmā (apakšprogrammā) atbilstoši Emisijas kvotu izsolīšanas instrumenta ietvaros apstiprināto projektu naudas plūsmu prognozēm un nepieciešamajiem Emisijas kvotu izsolīšanas instrumenta administratīvajiem izdevumiem, ņemot vērā iepriekšējos gados no šā panta septītajā daļā minētajiem finansējuma avotiem iegūto un neizlietoto finanšu līdzekļu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12. panta trešās daļas redakciju, atsauci uz likumprojekta 12. panta septīto daļu aizstājot ar atsauci uz likumprojekta 12.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veicināt gandrīz nulles enerģijas ēku būvniecību un paaugstināt ēku, tehnoloģisko iekārtu, elektroapgādes un individuālās un centralizētās siltumapgādes un aukstumapgādes sistēmu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13. panta pirmās daļas 1. punkta b) apakšpunkts dublē a) apakšpunktu. Lūdzam likumprojekta 13. panta pirmās daļas 1. punkta b) apakšpunktu izteikt tādā redakcijā, kāda tā bija iepriekš virzītā likumprojekta "Klimata likums" 34. panta pirmās daļas 1. punkta b) apakšpunktam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īstenot pasākumus, lai pārietu uz zemu un nulles siltumnīcefekta gāzu emisiju transportlīdzekļu un sabiedriskā transporta plašāku izmantošanu, kā arī sekmētu uzlādes un uzpildes infrastruktūras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Modernizācijas fonda finansējuma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anotācijā (10.lapā) ir noteikts, ka, lemjot par Modernizācijas fonda ietvaros pieejamā finansējuma piešķiršanu šā likuma 16. panta pirmajā daļā minētajām aktivitātēm, nepieciešams ievērot Eiropas Parlamenta un Padomes 2020. gada 18. jūnija Regulas (ES) 2020/852  par regulējuma izveidi ilgtspējīgu ieguldījumu veicināšanai un ar ko groza Regulu (ES) 2019/2088 (turpmāk - Regula (ES) 2020/852) 17. pantā noteiktos būtiska kaitējuma nenodarīšanas ("DNSH") kritērijus, ierosinām arī pašā likumprojekta redakcijā atspoguļot šo finansējuma piešķiršanu no Modernizācijas fonda sasaisti ar Regulu (ES) 2020/852.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VSIA "Latvijas Jūras administrācija" tieša iesaistīšanās likumprojekta izpildē nav paredzēta, lūdzam anotācijas 7.1. sadaļā svītrot norādi uz VSIA "Latvijas Jūras administrācija". Aicinām izvērtēt, vai anotācijas 7.1. sadaļā nav svītrojamas arī norādes uz citām institūcijām. Pirmšķietami vairākas šeit norādītās institūcijas ir iesaistītas nevis šā likumprojekta izpildē, bet gan šobrīd paralēli virzītā likumprojekta "Grozījumi likumā "Par piesārņojumu""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08.05.2025. 20.13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08.05.2025. 20.13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