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 kuriem nepieciešamas speciālās zināšanas bērnu tiesību aizsardzības jomā, izņemot speciālistus, kuru profesionālā darbība ir apturēta vai kuri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vārda "speciālisti" svītrot pieturzīmi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Bērnu tiesību aizsardzības likumā noteiktie subjekti - speciālisti, kuriem nepieciešamas speciālās zināšanas bērnu tiesību aizsardzības jomā, izņemot speciālistus, kuru profesionālā darbība ir apturēta vai kuri ir atstādināti no darba vai amata pienākumu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20.12.2022.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20.12.2022.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Atzinumi_22-TA-2826.docx</dc:title>
</cp:coreProperties>
</file>

<file path=docProps/custom.xml><?xml version="1.0" encoding="utf-8"?>
<Properties xmlns="http://schemas.openxmlformats.org/officeDocument/2006/custom-properties" xmlns:vt="http://schemas.openxmlformats.org/officeDocument/2006/docPropsVTypes"/>
</file>